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b/>
          <w:bCs/>
          <w:sz w:val="20"/>
          <w:lang w:eastAsia="pt-BR"/>
        </w:rPr>
        <w:t>Orientações Jurisprudenciais de Subseção do TST</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0"/>
          <w:szCs w:val="20"/>
          <w:lang w:eastAsia="pt-BR"/>
        </w:rPr>
        <w:t xml:space="preserve">A Comissão de Jurisprudência e de Precedentes Normativos do Tribunal Superior do Trabalho publicou a edição das Orientações Jurisprudenciais de </w:t>
      </w:r>
      <w:proofErr w:type="spellStart"/>
      <w:r w:rsidRPr="00E33706">
        <w:rPr>
          <w:rFonts w:ascii="Tahoma" w:eastAsia="Times New Roman" w:hAnsi="Tahoma" w:cs="Tahoma"/>
          <w:sz w:val="20"/>
          <w:szCs w:val="20"/>
          <w:lang w:eastAsia="pt-BR"/>
        </w:rPr>
        <w:t>nºs</w:t>
      </w:r>
      <w:proofErr w:type="spellEnd"/>
      <w:r w:rsidRPr="00E33706">
        <w:rPr>
          <w:rFonts w:ascii="Tahoma" w:eastAsia="Times New Roman" w:hAnsi="Tahoma" w:cs="Tahoma"/>
          <w:sz w:val="20"/>
          <w:szCs w:val="20"/>
          <w:lang w:eastAsia="pt-BR"/>
        </w:rPr>
        <w:t xml:space="preserve"> 374 a 384 da Subseção I Especializada em Dissídios Individuais.</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Arial" w:eastAsia="Times New Roman" w:hAnsi="Arial" w:cs="Arial"/>
          <w:sz w:val="20"/>
          <w:szCs w:val="20"/>
          <w:lang w:eastAsia="pt-BR"/>
        </w:rPr>
        <w:br/>
      </w:r>
      <w:r w:rsidRPr="00E33706">
        <w:rPr>
          <w:rFonts w:ascii="Tahoma" w:eastAsia="Times New Roman" w:hAnsi="Tahoma" w:cs="Tahoma"/>
          <w:sz w:val="20"/>
          <w:szCs w:val="20"/>
          <w:lang w:eastAsia="pt-BR"/>
        </w:rPr>
        <w:t>374. AGRAVO DE INSTRUMENTO. REPRESENTAÇÃO PROCESSUAL. REGULARIDADE. PROCURAÇÃO OU SUBSTABELECIMENTO COM CLÁUSULA LIMITATIVA DE PODERES AO ÂMBITO DO TRIBUNAL REGIONAL DO TRABALHO. É regular a representação processual do subscritor do agravo de instrumento ou do recurso de revista que detém mandato com poderes de representação limitados ao âmbito do Tribunal Regional do Trabalho, pois, embora a apreciação desse recurso seja realizada pelo Tribunal Superior do Trabalho, a sua interposição é ato praticado perante o Tribunal Regional do Trabalho, circunstância que legitima a atuação do advogado no feito.</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t xml:space="preserve">375. AUXÍLIO-DOENÇA. APOSENTADORIA POR INVALIDEZ. SUSPENSÃO DO CONTRATO DE TRABALHO. PRESCRIÇÃO. CONTAGEM. A suspensão do contrato de trabalho, em virtude da percepção do auxílio-doença ou da aposentadoria por invalidez, não impede a fluência da prescrição </w:t>
      </w:r>
      <w:proofErr w:type="spellStart"/>
      <w:r w:rsidRPr="00E33706">
        <w:rPr>
          <w:rFonts w:ascii="Tahoma" w:eastAsia="Times New Roman" w:hAnsi="Tahoma" w:cs="Tahoma"/>
          <w:sz w:val="24"/>
          <w:szCs w:val="24"/>
          <w:lang w:eastAsia="pt-BR"/>
        </w:rPr>
        <w:t>quinquenal</w:t>
      </w:r>
      <w:proofErr w:type="spellEnd"/>
      <w:r w:rsidRPr="00E33706">
        <w:rPr>
          <w:rFonts w:ascii="Tahoma" w:eastAsia="Times New Roman" w:hAnsi="Tahoma" w:cs="Tahoma"/>
          <w:sz w:val="24"/>
          <w:szCs w:val="24"/>
          <w:lang w:eastAsia="pt-BR"/>
        </w:rPr>
        <w:t>, ressalvada a hipótese de absoluta impossibilidade de acesso ao Judiciário.</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t>376. CONTRIBUIÇÃO PREVIDENCIÁRIA. ACORDO HOMOLOGADO EM JUÍZO APÓS O TRÂNSITO EM JULGADO DA SENTENÇA CONDENATÓRIA. INCIDÊNCIA SOBRE O VALOR homologado. É devida a contribuição previdenciária sobre o valor do acordo celebrado e homologado após o trânsito em julgado de decisão judicial, respeitada a proporcionalidade de valores entre as parcelas de natureza salarial e indenizatória deferidas na decisão condenatória e as parcelas objeto do acordo.</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t>377. EMBARGOS DE DECLARAÇÃO. DECISÃO DENEGATÓRIA DE RECURSO DE REVISTA EXARADO POR PRESIDENTE DO TRT. DESCABIMENTO. NÃO INTERRUPÇÃO DO PRAZO RECURSAL. Não cabem embargos de declaração interpostos contra decisão de admissibilidade do recurso de revista, não tendo o efeito de interromper qualquer prazo recursal.</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t xml:space="preserve">378. EMBARGOS. INTERPOSIÇÃO CONTRA DECISÃO MONOCRÁTICA. NÃO CABIMENTO. Não encontra amparo no art. 894 da CLT, quer na redação anterior quer na redação posterior à Lei n.º 11.496, de 22.06.2007, recurso de embargos interposto à decisão monocrática exarada nos moldes dos </w:t>
      </w:r>
      <w:proofErr w:type="spellStart"/>
      <w:r w:rsidRPr="00E33706">
        <w:rPr>
          <w:rFonts w:ascii="Tahoma" w:eastAsia="Times New Roman" w:hAnsi="Tahoma" w:cs="Tahoma"/>
          <w:sz w:val="24"/>
          <w:szCs w:val="24"/>
          <w:lang w:eastAsia="pt-BR"/>
        </w:rPr>
        <w:t>arts</w:t>
      </w:r>
      <w:proofErr w:type="spellEnd"/>
      <w:r w:rsidRPr="00E33706">
        <w:rPr>
          <w:rFonts w:ascii="Tahoma" w:eastAsia="Times New Roman" w:hAnsi="Tahoma" w:cs="Tahoma"/>
          <w:sz w:val="24"/>
          <w:szCs w:val="24"/>
          <w:lang w:eastAsia="pt-BR"/>
        </w:rPr>
        <w:t>. 557 do CPC e 896, § 5º, da CLT, pois o comando legal restringe seu cabimento à pretensão de reforma de decisão colegiada proferida por Turma do Tribunal Superior do Trabalho.</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t xml:space="preserve">379. EMPREGADO DE COOPERATIVA DE CRÉDITO. BANCÁRIO. EQUIPARAÇÃO. IMPOSSIBILIDADE. Os empregados de cooperativas de crédito não se equiparam a bancário, para efeito de aplicação do art. 224 da CLT, em razão da inexistência de expressa previsão legal, considerando, ainda, as diferenças estruturais e operacionais entre as instituições financeiras e as cooperativas de crédito. Inteligência das Leis </w:t>
      </w:r>
      <w:proofErr w:type="spellStart"/>
      <w:r w:rsidRPr="00E33706">
        <w:rPr>
          <w:rFonts w:ascii="Tahoma" w:eastAsia="Times New Roman" w:hAnsi="Tahoma" w:cs="Tahoma"/>
          <w:sz w:val="24"/>
          <w:szCs w:val="24"/>
          <w:lang w:eastAsia="pt-BR"/>
        </w:rPr>
        <w:t>nºs</w:t>
      </w:r>
      <w:proofErr w:type="spellEnd"/>
      <w:r w:rsidRPr="00E33706">
        <w:rPr>
          <w:rFonts w:ascii="Tahoma" w:eastAsia="Times New Roman" w:hAnsi="Tahoma" w:cs="Tahoma"/>
          <w:sz w:val="24"/>
          <w:szCs w:val="24"/>
          <w:lang w:eastAsia="pt-BR"/>
        </w:rPr>
        <w:t xml:space="preserve"> 4.594, de 29.12.1964, e 5.764, de 16.12.1971.</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lastRenderedPageBreak/>
        <w:t xml:space="preserve">380. INTERVALO INTRAJORNADA. JORNADA CONTRATUAL DE SEIS HORAS DIÁRIAS. PRORROGAÇÃO habitual. APLICAÇÃO DO ART. 71, “CAPUT” E § 4º, DA CLT. Ultrapassada habitualmente a jornada de seis horas de trabalho, é devido o gozo do intervalo </w:t>
      </w:r>
      <w:proofErr w:type="spellStart"/>
      <w:r w:rsidRPr="00E33706">
        <w:rPr>
          <w:rFonts w:ascii="Tahoma" w:eastAsia="Times New Roman" w:hAnsi="Tahoma" w:cs="Tahoma"/>
          <w:sz w:val="24"/>
          <w:szCs w:val="24"/>
          <w:lang w:eastAsia="pt-BR"/>
        </w:rPr>
        <w:t>intrajornada</w:t>
      </w:r>
      <w:proofErr w:type="spellEnd"/>
      <w:r w:rsidRPr="00E33706">
        <w:rPr>
          <w:rFonts w:ascii="Tahoma" w:eastAsia="Times New Roman" w:hAnsi="Tahoma" w:cs="Tahoma"/>
          <w:sz w:val="24"/>
          <w:szCs w:val="24"/>
          <w:lang w:eastAsia="pt-BR"/>
        </w:rPr>
        <w:t xml:space="preserve"> mínimo de uma hora, obrigando o empregador a remunerar o período para descanso e alimentação não usufruído como extra, acrescido do respectivo adicional, na forma prevista no art. 71, “caput” e § 4, da CLT.</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t xml:space="preserve">381. INTERVALO INTRAJORNADA. RURÍCOLA. LEI N.º 5.889, DE 08.06.1973. SUPRESSÃO TOTAL OU PARCIAL. DECRETO N.º 73.626, DE 12.02.1974. APLICAÇÃO DO ART. 71, § 4º, DA CLT. A não concessão total ou parcial do intervalo mínimo </w:t>
      </w:r>
      <w:proofErr w:type="spellStart"/>
      <w:r w:rsidRPr="00E33706">
        <w:rPr>
          <w:rFonts w:ascii="Tahoma" w:eastAsia="Times New Roman" w:hAnsi="Tahoma" w:cs="Tahoma"/>
          <w:sz w:val="24"/>
          <w:szCs w:val="24"/>
          <w:lang w:eastAsia="pt-BR"/>
        </w:rPr>
        <w:t>intrajornada</w:t>
      </w:r>
      <w:proofErr w:type="spellEnd"/>
      <w:r w:rsidRPr="00E33706">
        <w:rPr>
          <w:rFonts w:ascii="Tahoma" w:eastAsia="Times New Roman" w:hAnsi="Tahoma" w:cs="Tahoma"/>
          <w:sz w:val="24"/>
          <w:szCs w:val="24"/>
          <w:lang w:eastAsia="pt-BR"/>
        </w:rPr>
        <w:t xml:space="preserve"> de uma hora ao trabalhador rural, fixado no Decreto n.º 73.626, de 12.02.1974, que regulamentou a Lei n.º 5.889, de 08.06.1973, acarreta o pagamento do período total, acrescido do respectivo adicional, por aplicação subsidiária do art. 71, § 4º, da CLT.</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t>382. JUROS DE MORA. ART. 1º-F DA LEI Nº 9.494, DE 10.09.1997. INAPLICABILIDADE À FAZENDA PÚBLICA QUANDO CONDENADA SUBSIDIARIAMENTE. A Fazenda Pública, quando condenada subsidiariamente pelas obrigações trabalhistas devidas pela empregadora principal, não se beneficia da limitação dos juros, prevista no art. 1º-F da Lei nº 9.494, de 10.09.1997.</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t>383. TERCEIRIZAÇÃO. EMPREGADOS DA EMPRESA PRESTADORA DE SERVIÇOS E DA TOMADORA. ISONOMIA. ART. 12, “A”, DA LEI Nº 6.019, DE 03.01.1974. A contratação irregular de trabalhador, mediante empresa interposta, não gera vínculo de emprego com ente da Administração Pública, não afastando, contudo, pelo princípio da isonomia, o direito dos empregados terceirizados às mesmas verbas trabalhistas legais e normativas asseguradas àqueles contratados pelo tomador dos serviços, desde que presente a igualdade de funções. Aplicação analógica do art. 12, “a”, da Lei nº 6.019, de 03.01.1974.</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t> </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ahoma" w:eastAsia="Times New Roman" w:hAnsi="Tahoma" w:cs="Tahoma"/>
          <w:sz w:val="24"/>
          <w:szCs w:val="24"/>
          <w:lang w:eastAsia="pt-BR"/>
        </w:rPr>
        <w:t>384. TRABALHADOR AVULSO. PRESCRIÇÃO BIENAL. TERMO INICIAL. É aplicável a prescrição bienal prevista no art. 7º, XXIX, da Constituição de 1988 ao trabalhador avulso, tendo como marco inicial a cessação do trabalho ultimado para cada tomador de serviço.</w:t>
      </w:r>
    </w:p>
    <w:p w:rsidR="00E33706" w:rsidRPr="00E33706" w:rsidRDefault="00E33706" w:rsidP="00E33706">
      <w:pPr>
        <w:spacing w:after="0" w:line="240" w:lineRule="auto"/>
        <w:rPr>
          <w:rFonts w:ascii="Times New Roman" w:eastAsia="Times New Roman" w:hAnsi="Times New Roman" w:cs="Times New Roman"/>
          <w:sz w:val="24"/>
          <w:szCs w:val="24"/>
          <w:lang w:eastAsia="pt-BR"/>
        </w:rPr>
      </w:pPr>
      <w:r w:rsidRPr="00E33706">
        <w:rPr>
          <w:rFonts w:ascii="Times New Roman" w:eastAsia="Times New Roman" w:hAnsi="Times New Roman" w:cs="Times New Roman"/>
          <w:sz w:val="24"/>
          <w:szCs w:val="24"/>
          <w:lang w:eastAsia="pt-BR"/>
        </w:rPr>
        <w:br/>
      </w:r>
      <w:r w:rsidRPr="00E33706">
        <w:rPr>
          <w:rFonts w:ascii="Tahoma" w:eastAsia="Times New Roman" w:hAnsi="Tahoma" w:cs="Tahoma"/>
          <w:sz w:val="24"/>
          <w:szCs w:val="24"/>
          <w:lang w:eastAsia="pt-BR"/>
        </w:rPr>
        <w:t>Fonte: Diário Eletrônico da Justiça do Trabalho de 19/4/2010, página 1.</w:t>
      </w:r>
      <w:r w:rsidRPr="00E33706">
        <w:rPr>
          <w:rFonts w:ascii="Times New Roman" w:eastAsia="Times New Roman" w:hAnsi="Times New Roman" w:cs="Times New Roman"/>
          <w:sz w:val="24"/>
          <w:szCs w:val="24"/>
          <w:lang w:eastAsia="pt-BR"/>
        </w:rPr>
        <w:t xml:space="preserve"> </w:t>
      </w:r>
    </w:p>
    <w:p w:rsidR="006947AB" w:rsidRPr="00E33706" w:rsidRDefault="00E33706" w:rsidP="00E33706"/>
    <w:sectPr w:rsidR="006947AB" w:rsidRPr="00E33706" w:rsidSect="00BE50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13D3"/>
    <w:rsid w:val="00123FE4"/>
    <w:rsid w:val="00BE5005"/>
    <w:rsid w:val="00BF13D3"/>
    <w:rsid w:val="00CE04FA"/>
    <w:rsid w:val="00E337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33706"/>
    <w:rPr>
      <w:b/>
      <w:bCs/>
    </w:rPr>
  </w:style>
</w:styles>
</file>

<file path=word/webSettings.xml><?xml version="1.0" encoding="utf-8"?>
<w:webSettings xmlns:r="http://schemas.openxmlformats.org/officeDocument/2006/relationships" xmlns:w="http://schemas.openxmlformats.org/wordprocessingml/2006/main">
  <w:divs>
    <w:div w:id="545878459">
      <w:bodyDiv w:val="1"/>
      <w:marLeft w:val="0"/>
      <w:marRight w:val="0"/>
      <w:marTop w:val="0"/>
      <w:marBottom w:val="0"/>
      <w:divBdr>
        <w:top w:val="none" w:sz="0" w:space="0" w:color="auto"/>
        <w:left w:val="none" w:sz="0" w:space="0" w:color="auto"/>
        <w:bottom w:val="none" w:sz="0" w:space="0" w:color="auto"/>
        <w:right w:val="none" w:sz="0" w:space="0" w:color="auto"/>
      </w:divBdr>
      <w:divsChild>
        <w:div w:id="1540825088">
          <w:marLeft w:val="0"/>
          <w:marRight w:val="0"/>
          <w:marTop w:val="0"/>
          <w:marBottom w:val="0"/>
          <w:divBdr>
            <w:top w:val="none" w:sz="0" w:space="0" w:color="auto"/>
            <w:left w:val="none" w:sz="0" w:space="0" w:color="auto"/>
            <w:bottom w:val="none" w:sz="0" w:space="0" w:color="auto"/>
            <w:right w:val="none" w:sz="0" w:space="0" w:color="auto"/>
          </w:divBdr>
          <w:divsChild>
            <w:div w:id="266159188">
              <w:marLeft w:val="0"/>
              <w:marRight w:val="0"/>
              <w:marTop w:val="0"/>
              <w:marBottom w:val="0"/>
              <w:divBdr>
                <w:top w:val="none" w:sz="0" w:space="0" w:color="auto"/>
                <w:left w:val="none" w:sz="0" w:space="0" w:color="auto"/>
                <w:bottom w:val="none" w:sz="0" w:space="0" w:color="auto"/>
                <w:right w:val="none" w:sz="0" w:space="0" w:color="auto"/>
              </w:divBdr>
              <w:divsChild>
                <w:div w:id="995691628">
                  <w:marLeft w:val="0"/>
                  <w:marRight w:val="0"/>
                  <w:marTop w:val="0"/>
                  <w:marBottom w:val="0"/>
                  <w:divBdr>
                    <w:top w:val="none" w:sz="0" w:space="0" w:color="auto"/>
                    <w:left w:val="none" w:sz="0" w:space="0" w:color="auto"/>
                    <w:bottom w:val="none" w:sz="0" w:space="0" w:color="auto"/>
                    <w:right w:val="none" w:sz="0" w:space="0" w:color="auto"/>
                  </w:divBdr>
                  <w:divsChild>
                    <w:div w:id="1507943521">
                      <w:marLeft w:val="0"/>
                      <w:marRight w:val="0"/>
                      <w:marTop w:val="0"/>
                      <w:marBottom w:val="0"/>
                      <w:divBdr>
                        <w:top w:val="none" w:sz="0" w:space="0" w:color="auto"/>
                        <w:left w:val="none" w:sz="0" w:space="0" w:color="auto"/>
                        <w:bottom w:val="none" w:sz="0" w:space="0" w:color="auto"/>
                        <w:right w:val="none" w:sz="0" w:space="0" w:color="auto"/>
                      </w:divBdr>
                    </w:div>
                    <w:div w:id="1915506895">
                      <w:marLeft w:val="0"/>
                      <w:marRight w:val="0"/>
                      <w:marTop w:val="0"/>
                      <w:marBottom w:val="0"/>
                      <w:divBdr>
                        <w:top w:val="none" w:sz="0" w:space="0" w:color="auto"/>
                        <w:left w:val="none" w:sz="0" w:space="0" w:color="auto"/>
                        <w:bottom w:val="none" w:sz="0" w:space="0" w:color="auto"/>
                        <w:right w:val="none" w:sz="0" w:space="0" w:color="auto"/>
                      </w:divBdr>
                    </w:div>
                    <w:div w:id="611402161">
                      <w:marLeft w:val="0"/>
                      <w:marRight w:val="0"/>
                      <w:marTop w:val="0"/>
                      <w:marBottom w:val="0"/>
                      <w:divBdr>
                        <w:top w:val="none" w:sz="0" w:space="0" w:color="auto"/>
                        <w:left w:val="none" w:sz="0" w:space="0" w:color="auto"/>
                        <w:bottom w:val="none" w:sz="0" w:space="0" w:color="auto"/>
                        <w:right w:val="none" w:sz="0" w:space="0" w:color="auto"/>
                      </w:divBdr>
                    </w:div>
                    <w:div w:id="850072570">
                      <w:marLeft w:val="0"/>
                      <w:marRight w:val="0"/>
                      <w:marTop w:val="0"/>
                      <w:marBottom w:val="0"/>
                      <w:divBdr>
                        <w:top w:val="none" w:sz="0" w:space="0" w:color="auto"/>
                        <w:left w:val="none" w:sz="0" w:space="0" w:color="auto"/>
                        <w:bottom w:val="none" w:sz="0" w:space="0" w:color="auto"/>
                        <w:right w:val="none" w:sz="0" w:space="0" w:color="auto"/>
                      </w:divBdr>
                    </w:div>
                    <w:div w:id="1840583098">
                      <w:marLeft w:val="0"/>
                      <w:marRight w:val="0"/>
                      <w:marTop w:val="0"/>
                      <w:marBottom w:val="0"/>
                      <w:divBdr>
                        <w:top w:val="none" w:sz="0" w:space="0" w:color="auto"/>
                        <w:left w:val="none" w:sz="0" w:space="0" w:color="auto"/>
                        <w:bottom w:val="none" w:sz="0" w:space="0" w:color="auto"/>
                        <w:right w:val="none" w:sz="0" w:space="0" w:color="auto"/>
                      </w:divBdr>
                    </w:div>
                    <w:div w:id="163786768">
                      <w:marLeft w:val="0"/>
                      <w:marRight w:val="0"/>
                      <w:marTop w:val="0"/>
                      <w:marBottom w:val="0"/>
                      <w:divBdr>
                        <w:top w:val="none" w:sz="0" w:space="0" w:color="auto"/>
                        <w:left w:val="none" w:sz="0" w:space="0" w:color="auto"/>
                        <w:bottom w:val="none" w:sz="0" w:space="0" w:color="auto"/>
                        <w:right w:val="none" w:sz="0" w:space="0" w:color="auto"/>
                      </w:divBdr>
                    </w:div>
                    <w:div w:id="1943996041">
                      <w:marLeft w:val="0"/>
                      <w:marRight w:val="0"/>
                      <w:marTop w:val="0"/>
                      <w:marBottom w:val="0"/>
                      <w:divBdr>
                        <w:top w:val="none" w:sz="0" w:space="0" w:color="auto"/>
                        <w:left w:val="none" w:sz="0" w:space="0" w:color="auto"/>
                        <w:bottom w:val="none" w:sz="0" w:space="0" w:color="auto"/>
                        <w:right w:val="none" w:sz="0" w:space="0" w:color="auto"/>
                      </w:divBdr>
                    </w:div>
                    <w:div w:id="1201936777">
                      <w:marLeft w:val="0"/>
                      <w:marRight w:val="0"/>
                      <w:marTop w:val="0"/>
                      <w:marBottom w:val="0"/>
                      <w:divBdr>
                        <w:top w:val="none" w:sz="0" w:space="0" w:color="auto"/>
                        <w:left w:val="none" w:sz="0" w:space="0" w:color="auto"/>
                        <w:bottom w:val="none" w:sz="0" w:space="0" w:color="auto"/>
                        <w:right w:val="none" w:sz="0" w:space="0" w:color="auto"/>
                      </w:divBdr>
                    </w:div>
                    <w:div w:id="786125076">
                      <w:marLeft w:val="0"/>
                      <w:marRight w:val="0"/>
                      <w:marTop w:val="0"/>
                      <w:marBottom w:val="0"/>
                      <w:divBdr>
                        <w:top w:val="none" w:sz="0" w:space="0" w:color="auto"/>
                        <w:left w:val="none" w:sz="0" w:space="0" w:color="auto"/>
                        <w:bottom w:val="none" w:sz="0" w:space="0" w:color="auto"/>
                        <w:right w:val="none" w:sz="0" w:space="0" w:color="auto"/>
                      </w:divBdr>
                    </w:div>
                    <w:div w:id="78673242">
                      <w:marLeft w:val="0"/>
                      <w:marRight w:val="0"/>
                      <w:marTop w:val="0"/>
                      <w:marBottom w:val="0"/>
                      <w:divBdr>
                        <w:top w:val="none" w:sz="0" w:space="0" w:color="auto"/>
                        <w:left w:val="none" w:sz="0" w:space="0" w:color="auto"/>
                        <w:bottom w:val="none" w:sz="0" w:space="0" w:color="auto"/>
                        <w:right w:val="none" w:sz="0" w:space="0" w:color="auto"/>
                      </w:divBdr>
                    </w:div>
                    <w:div w:id="364600800">
                      <w:marLeft w:val="0"/>
                      <w:marRight w:val="0"/>
                      <w:marTop w:val="0"/>
                      <w:marBottom w:val="0"/>
                      <w:divBdr>
                        <w:top w:val="none" w:sz="0" w:space="0" w:color="auto"/>
                        <w:left w:val="none" w:sz="0" w:space="0" w:color="auto"/>
                        <w:bottom w:val="none" w:sz="0" w:space="0" w:color="auto"/>
                        <w:right w:val="none" w:sz="0" w:space="0" w:color="auto"/>
                      </w:divBdr>
                    </w:div>
                    <w:div w:id="193732333">
                      <w:marLeft w:val="0"/>
                      <w:marRight w:val="0"/>
                      <w:marTop w:val="0"/>
                      <w:marBottom w:val="0"/>
                      <w:divBdr>
                        <w:top w:val="none" w:sz="0" w:space="0" w:color="auto"/>
                        <w:left w:val="none" w:sz="0" w:space="0" w:color="auto"/>
                        <w:bottom w:val="none" w:sz="0" w:space="0" w:color="auto"/>
                        <w:right w:val="none" w:sz="0" w:space="0" w:color="auto"/>
                      </w:divBdr>
                    </w:div>
                    <w:div w:id="2057315805">
                      <w:marLeft w:val="0"/>
                      <w:marRight w:val="0"/>
                      <w:marTop w:val="0"/>
                      <w:marBottom w:val="0"/>
                      <w:divBdr>
                        <w:top w:val="none" w:sz="0" w:space="0" w:color="auto"/>
                        <w:left w:val="none" w:sz="0" w:space="0" w:color="auto"/>
                        <w:bottom w:val="none" w:sz="0" w:space="0" w:color="auto"/>
                        <w:right w:val="none" w:sz="0" w:space="0" w:color="auto"/>
                      </w:divBdr>
                    </w:div>
                    <w:div w:id="870385235">
                      <w:marLeft w:val="0"/>
                      <w:marRight w:val="0"/>
                      <w:marTop w:val="0"/>
                      <w:marBottom w:val="0"/>
                      <w:divBdr>
                        <w:top w:val="none" w:sz="0" w:space="0" w:color="auto"/>
                        <w:left w:val="none" w:sz="0" w:space="0" w:color="auto"/>
                        <w:bottom w:val="none" w:sz="0" w:space="0" w:color="auto"/>
                        <w:right w:val="none" w:sz="0" w:space="0" w:color="auto"/>
                      </w:divBdr>
                    </w:div>
                    <w:div w:id="478767581">
                      <w:marLeft w:val="0"/>
                      <w:marRight w:val="0"/>
                      <w:marTop w:val="0"/>
                      <w:marBottom w:val="0"/>
                      <w:divBdr>
                        <w:top w:val="none" w:sz="0" w:space="0" w:color="auto"/>
                        <w:left w:val="none" w:sz="0" w:space="0" w:color="auto"/>
                        <w:bottom w:val="none" w:sz="0" w:space="0" w:color="auto"/>
                        <w:right w:val="none" w:sz="0" w:space="0" w:color="auto"/>
                      </w:divBdr>
                    </w:div>
                    <w:div w:id="1888834308">
                      <w:marLeft w:val="0"/>
                      <w:marRight w:val="0"/>
                      <w:marTop w:val="0"/>
                      <w:marBottom w:val="0"/>
                      <w:divBdr>
                        <w:top w:val="none" w:sz="0" w:space="0" w:color="auto"/>
                        <w:left w:val="none" w:sz="0" w:space="0" w:color="auto"/>
                        <w:bottom w:val="none" w:sz="0" w:space="0" w:color="auto"/>
                        <w:right w:val="none" w:sz="0" w:space="0" w:color="auto"/>
                      </w:divBdr>
                    </w:div>
                    <w:div w:id="1475025695">
                      <w:marLeft w:val="0"/>
                      <w:marRight w:val="0"/>
                      <w:marTop w:val="0"/>
                      <w:marBottom w:val="0"/>
                      <w:divBdr>
                        <w:top w:val="none" w:sz="0" w:space="0" w:color="auto"/>
                        <w:left w:val="none" w:sz="0" w:space="0" w:color="auto"/>
                        <w:bottom w:val="none" w:sz="0" w:space="0" w:color="auto"/>
                        <w:right w:val="none" w:sz="0" w:space="0" w:color="auto"/>
                      </w:divBdr>
                    </w:div>
                    <w:div w:id="2095778404">
                      <w:marLeft w:val="0"/>
                      <w:marRight w:val="0"/>
                      <w:marTop w:val="0"/>
                      <w:marBottom w:val="0"/>
                      <w:divBdr>
                        <w:top w:val="none" w:sz="0" w:space="0" w:color="auto"/>
                        <w:left w:val="none" w:sz="0" w:space="0" w:color="auto"/>
                        <w:bottom w:val="none" w:sz="0" w:space="0" w:color="auto"/>
                        <w:right w:val="none" w:sz="0" w:space="0" w:color="auto"/>
                      </w:divBdr>
                    </w:div>
                    <w:div w:id="703091439">
                      <w:marLeft w:val="0"/>
                      <w:marRight w:val="0"/>
                      <w:marTop w:val="0"/>
                      <w:marBottom w:val="0"/>
                      <w:divBdr>
                        <w:top w:val="none" w:sz="0" w:space="0" w:color="auto"/>
                        <w:left w:val="none" w:sz="0" w:space="0" w:color="auto"/>
                        <w:bottom w:val="none" w:sz="0" w:space="0" w:color="auto"/>
                        <w:right w:val="none" w:sz="0" w:space="0" w:color="auto"/>
                      </w:divBdr>
                    </w:div>
                    <w:div w:id="1304969752">
                      <w:marLeft w:val="0"/>
                      <w:marRight w:val="0"/>
                      <w:marTop w:val="0"/>
                      <w:marBottom w:val="0"/>
                      <w:divBdr>
                        <w:top w:val="none" w:sz="0" w:space="0" w:color="auto"/>
                        <w:left w:val="none" w:sz="0" w:space="0" w:color="auto"/>
                        <w:bottom w:val="none" w:sz="0" w:space="0" w:color="auto"/>
                        <w:right w:val="none" w:sz="0" w:space="0" w:color="auto"/>
                      </w:divBdr>
                    </w:div>
                    <w:div w:id="683944436">
                      <w:marLeft w:val="0"/>
                      <w:marRight w:val="0"/>
                      <w:marTop w:val="0"/>
                      <w:marBottom w:val="0"/>
                      <w:divBdr>
                        <w:top w:val="none" w:sz="0" w:space="0" w:color="auto"/>
                        <w:left w:val="none" w:sz="0" w:space="0" w:color="auto"/>
                        <w:bottom w:val="none" w:sz="0" w:space="0" w:color="auto"/>
                        <w:right w:val="none" w:sz="0" w:space="0" w:color="auto"/>
                      </w:divBdr>
                    </w:div>
                    <w:div w:id="490295463">
                      <w:marLeft w:val="0"/>
                      <w:marRight w:val="0"/>
                      <w:marTop w:val="0"/>
                      <w:marBottom w:val="0"/>
                      <w:divBdr>
                        <w:top w:val="none" w:sz="0" w:space="0" w:color="auto"/>
                        <w:left w:val="none" w:sz="0" w:space="0" w:color="auto"/>
                        <w:bottom w:val="none" w:sz="0" w:space="0" w:color="auto"/>
                        <w:right w:val="none" w:sz="0" w:space="0" w:color="auto"/>
                      </w:divBdr>
                    </w:div>
                    <w:div w:id="1056054239">
                      <w:marLeft w:val="0"/>
                      <w:marRight w:val="0"/>
                      <w:marTop w:val="0"/>
                      <w:marBottom w:val="0"/>
                      <w:divBdr>
                        <w:top w:val="none" w:sz="0" w:space="0" w:color="auto"/>
                        <w:left w:val="none" w:sz="0" w:space="0" w:color="auto"/>
                        <w:bottom w:val="none" w:sz="0" w:space="0" w:color="auto"/>
                        <w:right w:val="none" w:sz="0" w:space="0" w:color="auto"/>
                      </w:divBdr>
                    </w:div>
                    <w:div w:id="1377193734">
                      <w:marLeft w:val="0"/>
                      <w:marRight w:val="0"/>
                      <w:marTop w:val="0"/>
                      <w:marBottom w:val="0"/>
                      <w:divBdr>
                        <w:top w:val="none" w:sz="0" w:space="0" w:color="auto"/>
                        <w:left w:val="none" w:sz="0" w:space="0" w:color="auto"/>
                        <w:bottom w:val="none" w:sz="0" w:space="0" w:color="auto"/>
                        <w:right w:val="none" w:sz="0" w:space="0" w:color="auto"/>
                      </w:divBdr>
                    </w:div>
                    <w:div w:id="10194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69120">
      <w:bodyDiv w:val="1"/>
      <w:marLeft w:val="0"/>
      <w:marRight w:val="0"/>
      <w:marTop w:val="0"/>
      <w:marBottom w:val="0"/>
      <w:divBdr>
        <w:top w:val="none" w:sz="0" w:space="0" w:color="auto"/>
        <w:left w:val="none" w:sz="0" w:space="0" w:color="auto"/>
        <w:bottom w:val="none" w:sz="0" w:space="0" w:color="auto"/>
        <w:right w:val="none" w:sz="0" w:space="0" w:color="auto"/>
      </w:divBdr>
      <w:divsChild>
        <w:div w:id="1203443387">
          <w:marLeft w:val="0"/>
          <w:marRight w:val="0"/>
          <w:marTop w:val="0"/>
          <w:marBottom w:val="0"/>
          <w:divBdr>
            <w:top w:val="none" w:sz="0" w:space="0" w:color="auto"/>
            <w:left w:val="none" w:sz="0" w:space="0" w:color="auto"/>
            <w:bottom w:val="none" w:sz="0" w:space="0" w:color="auto"/>
            <w:right w:val="none" w:sz="0" w:space="0" w:color="auto"/>
          </w:divBdr>
        </w:div>
        <w:div w:id="5486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4293</Characters>
  <Application>Microsoft Office Word</Application>
  <DocSecurity>0</DocSecurity>
  <Lines>35</Lines>
  <Paragraphs>10</Paragraphs>
  <ScaleCrop>false</ScaleCrop>
  <Company>UNIFACS</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2</cp:revision>
  <dcterms:created xsi:type="dcterms:W3CDTF">2010-06-21T14:30:00Z</dcterms:created>
  <dcterms:modified xsi:type="dcterms:W3CDTF">2010-06-21T14:30:00Z</dcterms:modified>
</cp:coreProperties>
</file>