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b/>
          <w:bCs/>
          <w:sz w:val="20"/>
          <w:lang w:eastAsia="pt-BR"/>
        </w:rPr>
        <w:t>Orientações Jurisprudenciais de Subseção do TST</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t> </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sz w:val="20"/>
          <w:szCs w:val="20"/>
          <w:lang w:eastAsia="pt-BR"/>
        </w:rPr>
        <w:t xml:space="preserve">A Comissão de Jurisprudência e de Precedentes Normativos do Tribunal Superior do Trabalho publicou a edição das Orientações Jurisprudenciais de </w:t>
      </w:r>
      <w:proofErr w:type="spellStart"/>
      <w:r w:rsidRPr="00E33706">
        <w:rPr>
          <w:rFonts w:ascii="Tahoma" w:eastAsia="Times New Roman" w:hAnsi="Tahoma" w:cs="Tahoma"/>
          <w:sz w:val="20"/>
          <w:szCs w:val="20"/>
          <w:lang w:eastAsia="pt-BR"/>
        </w:rPr>
        <w:t>nºs</w:t>
      </w:r>
      <w:proofErr w:type="spellEnd"/>
      <w:r w:rsidRPr="00E33706">
        <w:rPr>
          <w:rFonts w:ascii="Tahoma" w:eastAsia="Times New Roman" w:hAnsi="Tahoma" w:cs="Tahoma"/>
          <w:sz w:val="20"/>
          <w:szCs w:val="20"/>
          <w:lang w:eastAsia="pt-BR"/>
        </w:rPr>
        <w:t xml:space="preserve"> 374 a 384 da Subseção I Especializada em Dissídios Individuais.</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Arial" w:eastAsia="Times New Roman" w:hAnsi="Arial" w:cs="Arial"/>
          <w:sz w:val="20"/>
          <w:szCs w:val="20"/>
          <w:lang w:eastAsia="pt-BR"/>
        </w:rPr>
        <w:br/>
      </w:r>
      <w:r w:rsidRPr="00E33706">
        <w:rPr>
          <w:rFonts w:ascii="Tahoma" w:eastAsia="Times New Roman" w:hAnsi="Tahoma" w:cs="Tahoma"/>
          <w:sz w:val="20"/>
          <w:szCs w:val="20"/>
          <w:lang w:eastAsia="pt-BR"/>
        </w:rPr>
        <w:t>374. AGRAVO DE INSTRUMENTO. REPRESENTAÇÃO PROCESSUAL. REGULARIDADE. PROCURAÇÃO OU SUBSTABELECIMENTO COM CLÁUSULA LIMITATIVA DE PODERES AO ÂMBITO DO TRIBUNAL REGIONAL DO TRABALHO. É regular a representação processual do subscritor do agravo de instrumento ou do recurso de revista que detém mandato com poderes de representação limitados ao âmbito do Tribunal Regional do Trabalho, pois, embora a apreciação desse recurso seja realizada pelo Tribunal Superior do Trabalho, a sua interposição é ato praticado perante o Tribunal Regional do Trabalho, circunstância que legitima a atuação do advogado no feito.</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t> </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sz w:val="24"/>
          <w:szCs w:val="24"/>
          <w:lang w:eastAsia="pt-BR"/>
        </w:rPr>
        <w:t xml:space="preserve">375. AUXÍLIO-DOENÇA. APOSENTADORIA POR INVALIDEZ. SUSPENSÃO DO CONTRATO DE TRABALHO. PRESCRIÇÃO. CONTAGEM. A suspensão do contrato de trabalho, em virtude da percepção do auxílio-doença ou da aposentadoria por invalidez, não impede a fluência da prescrição </w:t>
      </w:r>
      <w:proofErr w:type="spellStart"/>
      <w:r w:rsidRPr="00E33706">
        <w:rPr>
          <w:rFonts w:ascii="Tahoma" w:eastAsia="Times New Roman" w:hAnsi="Tahoma" w:cs="Tahoma"/>
          <w:sz w:val="24"/>
          <w:szCs w:val="24"/>
          <w:lang w:eastAsia="pt-BR"/>
        </w:rPr>
        <w:t>quinquenal</w:t>
      </w:r>
      <w:proofErr w:type="spellEnd"/>
      <w:r w:rsidRPr="00E33706">
        <w:rPr>
          <w:rFonts w:ascii="Tahoma" w:eastAsia="Times New Roman" w:hAnsi="Tahoma" w:cs="Tahoma"/>
          <w:sz w:val="24"/>
          <w:szCs w:val="24"/>
          <w:lang w:eastAsia="pt-BR"/>
        </w:rPr>
        <w:t>, ressalvada a hipótese de absoluta impossibilidade de acesso ao Judiciário.</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t> </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sz w:val="24"/>
          <w:szCs w:val="24"/>
          <w:lang w:eastAsia="pt-BR"/>
        </w:rPr>
        <w:t>376. CONTRIBUIÇÃO PREVIDENCIÁRIA. ACORDO HOMOLOGADO EM JUÍZO APÓS O TRÂNSITO EM JULGADO DA SENTENÇA CONDENATÓRIA. INCIDÊNCIA SOBRE O VALOR homologado. É devida a contribuição previdenciária sobre o valor do acordo celebrado e homologado após o trânsito em julgado de decisão judicial, respeitada a proporcionalidade de valores entre as parcelas de natureza salarial e indenizatória deferidas na decisão condenatória e as parcelas objeto do acordo.</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t> </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sz w:val="24"/>
          <w:szCs w:val="24"/>
          <w:lang w:eastAsia="pt-BR"/>
        </w:rPr>
        <w:t>377. EMBARGOS DE DECLARAÇÃO. DECISÃO DENEGATÓRIA DE RECURSO DE REVISTA EXARADO POR PRESIDENTE DO TRT. DESCABIMENTO. NÃO INTERRUPÇÃO DO PRAZO RECURSAL. Não cabem embargos de declaração interpostos contra decisão de admissibilidade do recurso de revista, não tendo o efeito de interromper qualquer prazo recursal.</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t> </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sz w:val="24"/>
          <w:szCs w:val="24"/>
          <w:lang w:eastAsia="pt-BR"/>
        </w:rPr>
        <w:t xml:space="preserve">378. EMBARGOS. INTERPOSIÇÃO CONTRA DECISÃO MONOCRÁTICA. NÃO CABIMENTO. Não encontra amparo no art. 894 da CLT, quer na redação anterior quer na redação posterior à Lei n.º 11.496, de 22.06.2007, recurso de embargos interposto à decisão monocrática exarada nos moldes dos </w:t>
      </w:r>
      <w:proofErr w:type="spellStart"/>
      <w:r w:rsidRPr="00E33706">
        <w:rPr>
          <w:rFonts w:ascii="Tahoma" w:eastAsia="Times New Roman" w:hAnsi="Tahoma" w:cs="Tahoma"/>
          <w:sz w:val="24"/>
          <w:szCs w:val="24"/>
          <w:lang w:eastAsia="pt-BR"/>
        </w:rPr>
        <w:t>arts</w:t>
      </w:r>
      <w:proofErr w:type="spellEnd"/>
      <w:r w:rsidRPr="00E33706">
        <w:rPr>
          <w:rFonts w:ascii="Tahoma" w:eastAsia="Times New Roman" w:hAnsi="Tahoma" w:cs="Tahoma"/>
          <w:sz w:val="24"/>
          <w:szCs w:val="24"/>
          <w:lang w:eastAsia="pt-BR"/>
        </w:rPr>
        <w:t>. 557 do CPC e 896, § 5º, da CLT, pois o comando legal restringe seu cabimento à pretensão de reforma de decisão colegiada proferida por Turma do Tribunal Superior do Trabalho.</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t> </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sz w:val="24"/>
          <w:szCs w:val="24"/>
          <w:lang w:eastAsia="pt-BR"/>
        </w:rPr>
        <w:t xml:space="preserve">379. EMPREGADO DE COOPERATIVA DE CRÉDITO. BANCÁRIO. EQUIPARAÇÃO. IMPOSSIBILIDADE. Os empregados de cooperativas de crédito não se equiparam a bancário, para efeito de aplicação do art. 224 da CLT, em razão da inexistência de expressa previsão legal, considerando, ainda, as diferenças estruturais e operacionais entre as instituições financeiras e as cooperativas de crédito. Inteligência das Leis </w:t>
      </w:r>
      <w:proofErr w:type="spellStart"/>
      <w:r w:rsidRPr="00E33706">
        <w:rPr>
          <w:rFonts w:ascii="Tahoma" w:eastAsia="Times New Roman" w:hAnsi="Tahoma" w:cs="Tahoma"/>
          <w:sz w:val="24"/>
          <w:szCs w:val="24"/>
          <w:lang w:eastAsia="pt-BR"/>
        </w:rPr>
        <w:t>nºs</w:t>
      </w:r>
      <w:proofErr w:type="spellEnd"/>
      <w:r w:rsidRPr="00E33706">
        <w:rPr>
          <w:rFonts w:ascii="Tahoma" w:eastAsia="Times New Roman" w:hAnsi="Tahoma" w:cs="Tahoma"/>
          <w:sz w:val="24"/>
          <w:szCs w:val="24"/>
          <w:lang w:eastAsia="pt-BR"/>
        </w:rPr>
        <w:t xml:space="preserve"> 4.594, de 29.12.1964, e 5.764, de 16.12.1971.</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t> </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sz w:val="24"/>
          <w:szCs w:val="24"/>
          <w:lang w:eastAsia="pt-BR"/>
        </w:rPr>
        <w:lastRenderedPageBreak/>
        <w:t xml:space="preserve">380. INTERVALO INTRAJORNADA. JORNADA CONTRATUAL DE SEIS HORAS DIÁRIAS. PRORROGAÇÃO habitual. APLICAÇÃO DO ART. 71, “CAPUT” E § 4º, DA CLT. Ultrapassada habitualmente a jornada de seis horas de trabalho, é devido o gozo do intervalo </w:t>
      </w:r>
      <w:proofErr w:type="spellStart"/>
      <w:r w:rsidRPr="00E33706">
        <w:rPr>
          <w:rFonts w:ascii="Tahoma" w:eastAsia="Times New Roman" w:hAnsi="Tahoma" w:cs="Tahoma"/>
          <w:sz w:val="24"/>
          <w:szCs w:val="24"/>
          <w:lang w:eastAsia="pt-BR"/>
        </w:rPr>
        <w:t>intrajornada</w:t>
      </w:r>
      <w:proofErr w:type="spellEnd"/>
      <w:r w:rsidRPr="00E33706">
        <w:rPr>
          <w:rFonts w:ascii="Tahoma" w:eastAsia="Times New Roman" w:hAnsi="Tahoma" w:cs="Tahoma"/>
          <w:sz w:val="24"/>
          <w:szCs w:val="24"/>
          <w:lang w:eastAsia="pt-BR"/>
        </w:rPr>
        <w:t xml:space="preserve"> mínimo de uma hora, obrigando o empregador a remunerar o período para descanso e alimentação não usufruído como extra, acrescido do respectivo adicional, na forma prevista no art. 71, “caput” e § 4, da CLT.</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t> </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sz w:val="24"/>
          <w:szCs w:val="24"/>
          <w:lang w:eastAsia="pt-BR"/>
        </w:rPr>
        <w:t xml:space="preserve">381. INTERVALO INTRAJORNADA. RURÍCOLA. LEI N.º 5.889, DE 08.06.1973. SUPRESSÃO TOTAL OU PARCIAL. DECRETO N.º 73.626, DE 12.02.1974. APLICAÇÃO DO ART. 71, § 4º, DA CLT. A não concessão total ou parcial do intervalo mínimo </w:t>
      </w:r>
      <w:proofErr w:type="spellStart"/>
      <w:r w:rsidRPr="00E33706">
        <w:rPr>
          <w:rFonts w:ascii="Tahoma" w:eastAsia="Times New Roman" w:hAnsi="Tahoma" w:cs="Tahoma"/>
          <w:sz w:val="24"/>
          <w:szCs w:val="24"/>
          <w:lang w:eastAsia="pt-BR"/>
        </w:rPr>
        <w:t>intrajornada</w:t>
      </w:r>
      <w:proofErr w:type="spellEnd"/>
      <w:r w:rsidRPr="00E33706">
        <w:rPr>
          <w:rFonts w:ascii="Tahoma" w:eastAsia="Times New Roman" w:hAnsi="Tahoma" w:cs="Tahoma"/>
          <w:sz w:val="24"/>
          <w:szCs w:val="24"/>
          <w:lang w:eastAsia="pt-BR"/>
        </w:rPr>
        <w:t xml:space="preserve"> de uma hora ao trabalhador rural, fixado no Decreto n.º 73.626, de 12.02.1974, que regulamentou a Lei n.º 5.889, de 08.06.1973, acarreta o pagamento do período total, acrescido do respectivo adicional, por aplicação subsidiária do art. 71, § 4º, da CLT.</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t> </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sz w:val="24"/>
          <w:szCs w:val="24"/>
          <w:lang w:eastAsia="pt-BR"/>
        </w:rPr>
        <w:t>382. JUROS DE MORA. ART. 1º-F DA LEI Nº 9.494, DE 10.09.1997. INAPLICABILIDADE À FAZENDA PÚBLICA QUANDO CONDENADA SUBSIDIARIAMENTE. A Fazenda Pública, quando condenada subsidiariamente pelas obrigações trabalhistas devidas pela empregadora principal, não se beneficia da limitação dos juros, prevista no art. 1º-F da Lei nº 9.494, de 10.09.1997.</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t> </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sz w:val="24"/>
          <w:szCs w:val="24"/>
          <w:lang w:eastAsia="pt-BR"/>
        </w:rPr>
        <w:t>383. TERCEIRIZAÇÃO. EMPREGADOS DA EMPRESA PRESTADORA DE SERVIÇOS E DA TOMADORA. ISONOMIA. ART. 12, “A”, DA LEI Nº 6.019, DE 03.01.1974. A contratação irregular de trabalhador, mediante empresa interposta, não gera vínculo de emprego com ente da Administração Pública, não afastando, contudo, pelo princípio da isonomia, o direito dos empregados terceirizados às mesmas verbas trabalhistas legais e normativas asseguradas àqueles contratados pelo tomador dos serviços, desde que presente a igualdade de funções. Aplicação analógica do art. 12, “a”, da Lei nº 6.019, de 03.01.1974.</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t> </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ahoma" w:eastAsia="Times New Roman" w:hAnsi="Tahoma" w:cs="Tahoma"/>
          <w:sz w:val="24"/>
          <w:szCs w:val="24"/>
          <w:lang w:eastAsia="pt-BR"/>
        </w:rPr>
        <w:t>384. TRABALHADOR AVULSO. PRESCRIÇÃO BIENAL. TERMO INICIAL. É aplicável a prescrição bienal prevista no art. 7º, XXIX, da Constituição de 1988 ao trabalhador avulso, tendo como marco inicial a cessação do trabalho ultimado para cada tomador de serviço.</w:t>
      </w:r>
    </w:p>
    <w:p w:rsidR="00E33706" w:rsidRPr="00E33706" w:rsidRDefault="00E33706" w:rsidP="00E33706">
      <w:pPr>
        <w:spacing w:after="0" w:line="240" w:lineRule="auto"/>
        <w:rPr>
          <w:rFonts w:ascii="Times New Roman" w:eastAsia="Times New Roman" w:hAnsi="Times New Roman" w:cs="Times New Roman"/>
          <w:sz w:val="24"/>
          <w:szCs w:val="24"/>
          <w:lang w:eastAsia="pt-BR"/>
        </w:rPr>
      </w:pPr>
      <w:r w:rsidRPr="00E33706">
        <w:rPr>
          <w:rFonts w:ascii="Times New Roman" w:eastAsia="Times New Roman" w:hAnsi="Times New Roman" w:cs="Times New Roman"/>
          <w:sz w:val="24"/>
          <w:szCs w:val="24"/>
          <w:lang w:eastAsia="pt-BR"/>
        </w:rPr>
        <w:br/>
      </w:r>
      <w:r w:rsidRPr="00E33706">
        <w:rPr>
          <w:rFonts w:ascii="Tahoma" w:eastAsia="Times New Roman" w:hAnsi="Tahoma" w:cs="Tahoma"/>
          <w:sz w:val="24"/>
          <w:szCs w:val="24"/>
          <w:lang w:eastAsia="pt-BR"/>
        </w:rPr>
        <w:t>Fonte: Diário Eletrônico da Justiça do Trabalho de 19/4/2010, página 1.</w:t>
      </w:r>
      <w:r w:rsidRPr="00E33706">
        <w:rPr>
          <w:rFonts w:ascii="Times New Roman" w:eastAsia="Times New Roman" w:hAnsi="Times New Roman" w:cs="Times New Roman"/>
          <w:sz w:val="24"/>
          <w:szCs w:val="24"/>
          <w:lang w:eastAsia="pt-BR"/>
        </w:rPr>
        <w:t xml:space="preserve"> </w:t>
      </w:r>
    </w:p>
    <w:p w:rsidR="006947AB" w:rsidRPr="00E33706" w:rsidRDefault="00E33706" w:rsidP="00E33706"/>
    <w:sectPr w:rsidR="006947AB" w:rsidRPr="00E33706" w:rsidSect="00BE50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3D3"/>
    <w:rsid w:val="00123FE4"/>
    <w:rsid w:val="00BE5005"/>
    <w:rsid w:val="00BF13D3"/>
    <w:rsid w:val="00CE04FA"/>
    <w:rsid w:val="00E337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0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33706"/>
    <w:rPr>
      <w:b/>
      <w:bCs/>
    </w:rPr>
  </w:style>
</w:styles>
</file>

<file path=word/webSettings.xml><?xml version="1.0" encoding="utf-8"?>
<w:webSettings xmlns:r="http://schemas.openxmlformats.org/officeDocument/2006/relationships" xmlns:w="http://schemas.openxmlformats.org/wordprocessingml/2006/main">
  <w:divs>
    <w:div w:id="545878459">
      <w:bodyDiv w:val="1"/>
      <w:marLeft w:val="0"/>
      <w:marRight w:val="0"/>
      <w:marTop w:val="0"/>
      <w:marBottom w:val="0"/>
      <w:divBdr>
        <w:top w:val="none" w:sz="0" w:space="0" w:color="auto"/>
        <w:left w:val="none" w:sz="0" w:space="0" w:color="auto"/>
        <w:bottom w:val="none" w:sz="0" w:space="0" w:color="auto"/>
        <w:right w:val="none" w:sz="0" w:space="0" w:color="auto"/>
      </w:divBdr>
      <w:divsChild>
        <w:div w:id="1540825088">
          <w:marLeft w:val="0"/>
          <w:marRight w:val="0"/>
          <w:marTop w:val="0"/>
          <w:marBottom w:val="0"/>
          <w:divBdr>
            <w:top w:val="none" w:sz="0" w:space="0" w:color="auto"/>
            <w:left w:val="none" w:sz="0" w:space="0" w:color="auto"/>
            <w:bottom w:val="none" w:sz="0" w:space="0" w:color="auto"/>
            <w:right w:val="none" w:sz="0" w:space="0" w:color="auto"/>
          </w:divBdr>
          <w:divsChild>
            <w:div w:id="266159188">
              <w:marLeft w:val="0"/>
              <w:marRight w:val="0"/>
              <w:marTop w:val="0"/>
              <w:marBottom w:val="0"/>
              <w:divBdr>
                <w:top w:val="none" w:sz="0" w:space="0" w:color="auto"/>
                <w:left w:val="none" w:sz="0" w:space="0" w:color="auto"/>
                <w:bottom w:val="none" w:sz="0" w:space="0" w:color="auto"/>
                <w:right w:val="none" w:sz="0" w:space="0" w:color="auto"/>
              </w:divBdr>
              <w:divsChild>
                <w:div w:id="995691628">
                  <w:marLeft w:val="0"/>
                  <w:marRight w:val="0"/>
                  <w:marTop w:val="0"/>
                  <w:marBottom w:val="0"/>
                  <w:divBdr>
                    <w:top w:val="none" w:sz="0" w:space="0" w:color="auto"/>
                    <w:left w:val="none" w:sz="0" w:space="0" w:color="auto"/>
                    <w:bottom w:val="none" w:sz="0" w:space="0" w:color="auto"/>
                    <w:right w:val="none" w:sz="0" w:space="0" w:color="auto"/>
                  </w:divBdr>
                  <w:divsChild>
                    <w:div w:id="1507943521">
                      <w:marLeft w:val="0"/>
                      <w:marRight w:val="0"/>
                      <w:marTop w:val="0"/>
                      <w:marBottom w:val="0"/>
                      <w:divBdr>
                        <w:top w:val="none" w:sz="0" w:space="0" w:color="auto"/>
                        <w:left w:val="none" w:sz="0" w:space="0" w:color="auto"/>
                        <w:bottom w:val="none" w:sz="0" w:space="0" w:color="auto"/>
                        <w:right w:val="none" w:sz="0" w:space="0" w:color="auto"/>
                      </w:divBdr>
                    </w:div>
                    <w:div w:id="1915506895">
                      <w:marLeft w:val="0"/>
                      <w:marRight w:val="0"/>
                      <w:marTop w:val="0"/>
                      <w:marBottom w:val="0"/>
                      <w:divBdr>
                        <w:top w:val="none" w:sz="0" w:space="0" w:color="auto"/>
                        <w:left w:val="none" w:sz="0" w:space="0" w:color="auto"/>
                        <w:bottom w:val="none" w:sz="0" w:space="0" w:color="auto"/>
                        <w:right w:val="none" w:sz="0" w:space="0" w:color="auto"/>
                      </w:divBdr>
                    </w:div>
                    <w:div w:id="611402161">
                      <w:marLeft w:val="0"/>
                      <w:marRight w:val="0"/>
                      <w:marTop w:val="0"/>
                      <w:marBottom w:val="0"/>
                      <w:divBdr>
                        <w:top w:val="none" w:sz="0" w:space="0" w:color="auto"/>
                        <w:left w:val="none" w:sz="0" w:space="0" w:color="auto"/>
                        <w:bottom w:val="none" w:sz="0" w:space="0" w:color="auto"/>
                        <w:right w:val="none" w:sz="0" w:space="0" w:color="auto"/>
                      </w:divBdr>
                    </w:div>
                    <w:div w:id="850072570">
                      <w:marLeft w:val="0"/>
                      <w:marRight w:val="0"/>
                      <w:marTop w:val="0"/>
                      <w:marBottom w:val="0"/>
                      <w:divBdr>
                        <w:top w:val="none" w:sz="0" w:space="0" w:color="auto"/>
                        <w:left w:val="none" w:sz="0" w:space="0" w:color="auto"/>
                        <w:bottom w:val="none" w:sz="0" w:space="0" w:color="auto"/>
                        <w:right w:val="none" w:sz="0" w:space="0" w:color="auto"/>
                      </w:divBdr>
                    </w:div>
                    <w:div w:id="1840583098">
                      <w:marLeft w:val="0"/>
                      <w:marRight w:val="0"/>
                      <w:marTop w:val="0"/>
                      <w:marBottom w:val="0"/>
                      <w:divBdr>
                        <w:top w:val="none" w:sz="0" w:space="0" w:color="auto"/>
                        <w:left w:val="none" w:sz="0" w:space="0" w:color="auto"/>
                        <w:bottom w:val="none" w:sz="0" w:space="0" w:color="auto"/>
                        <w:right w:val="none" w:sz="0" w:space="0" w:color="auto"/>
                      </w:divBdr>
                    </w:div>
                    <w:div w:id="163786768">
                      <w:marLeft w:val="0"/>
                      <w:marRight w:val="0"/>
                      <w:marTop w:val="0"/>
                      <w:marBottom w:val="0"/>
                      <w:divBdr>
                        <w:top w:val="none" w:sz="0" w:space="0" w:color="auto"/>
                        <w:left w:val="none" w:sz="0" w:space="0" w:color="auto"/>
                        <w:bottom w:val="none" w:sz="0" w:space="0" w:color="auto"/>
                        <w:right w:val="none" w:sz="0" w:space="0" w:color="auto"/>
                      </w:divBdr>
                    </w:div>
                    <w:div w:id="1943996041">
                      <w:marLeft w:val="0"/>
                      <w:marRight w:val="0"/>
                      <w:marTop w:val="0"/>
                      <w:marBottom w:val="0"/>
                      <w:divBdr>
                        <w:top w:val="none" w:sz="0" w:space="0" w:color="auto"/>
                        <w:left w:val="none" w:sz="0" w:space="0" w:color="auto"/>
                        <w:bottom w:val="none" w:sz="0" w:space="0" w:color="auto"/>
                        <w:right w:val="none" w:sz="0" w:space="0" w:color="auto"/>
                      </w:divBdr>
                    </w:div>
                    <w:div w:id="1201936777">
                      <w:marLeft w:val="0"/>
                      <w:marRight w:val="0"/>
                      <w:marTop w:val="0"/>
                      <w:marBottom w:val="0"/>
                      <w:divBdr>
                        <w:top w:val="none" w:sz="0" w:space="0" w:color="auto"/>
                        <w:left w:val="none" w:sz="0" w:space="0" w:color="auto"/>
                        <w:bottom w:val="none" w:sz="0" w:space="0" w:color="auto"/>
                        <w:right w:val="none" w:sz="0" w:space="0" w:color="auto"/>
                      </w:divBdr>
                    </w:div>
                    <w:div w:id="786125076">
                      <w:marLeft w:val="0"/>
                      <w:marRight w:val="0"/>
                      <w:marTop w:val="0"/>
                      <w:marBottom w:val="0"/>
                      <w:divBdr>
                        <w:top w:val="none" w:sz="0" w:space="0" w:color="auto"/>
                        <w:left w:val="none" w:sz="0" w:space="0" w:color="auto"/>
                        <w:bottom w:val="none" w:sz="0" w:space="0" w:color="auto"/>
                        <w:right w:val="none" w:sz="0" w:space="0" w:color="auto"/>
                      </w:divBdr>
                    </w:div>
                    <w:div w:id="78673242">
                      <w:marLeft w:val="0"/>
                      <w:marRight w:val="0"/>
                      <w:marTop w:val="0"/>
                      <w:marBottom w:val="0"/>
                      <w:divBdr>
                        <w:top w:val="none" w:sz="0" w:space="0" w:color="auto"/>
                        <w:left w:val="none" w:sz="0" w:space="0" w:color="auto"/>
                        <w:bottom w:val="none" w:sz="0" w:space="0" w:color="auto"/>
                        <w:right w:val="none" w:sz="0" w:space="0" w:color="auto"/>
                      </w:divBdr>
                    </w:div>
                    <w:div w:id="364600800">
                      <w:marLeft w:val="0"/>
                      <w:marRight w:val="0"/>
                      <w:marTop w:val="0"/>
                      <w:marBottom w:val="0"/>
                      <w:divBdr>
                        <w:top w:val="none" w:sz="0" w:space="0" w:color="auto"/>
                        <w:left w:val="none" w:sz="0" w:space="0" w:color="auto"/>
                        <w:bottom w:val="none" w:sz="0" w:space="0" w:color="auto"/>
                        <w:right w:val="none" w:sz="0" w:space="0" w:color="auto"/>
                      </w:divBdr>
                    </w:div>
                    <w:div w:id="193732333">
                      <w:marLeft w:val="0"/>
                      <w:marRight w:val="0"/>
                      <w:marTop w:val="0"/>
                      <w:marBottom w:val="0"/>
                      <w:divBdr>
                        <w:top w:val="none" w:sz="0" w:space="0" w:color="auto"/>
                        <w:left w:val="none" w:sz="0" w:space="0" w:color="auto"/>
                        <w:bottom w:val="none" w:sz="0" w:space="0" w:color="auto"/>
                        <w:right w:val="none" w:sz="0" w:space="0" w:color="auto"/>
                      </w:divBdr>
                    </w:div>
                    <w:div w:id="2057315805">
                      <w:marLeft w:val="0"/>
                      <w:marRight w:val="0"/>
                      <w:marTop w:val="0"/>
                      <w:marBottom w:val="0"/>
                      <w:divBdr>
                        <w:top w:val="none" w:sz="0" w:space="0" w:color="auto"/>
                        <w:left w:val="none" w:sz="0" w:space="0" w:color="auto"/>
                        <w:bottom w:val="none" w:sz="0" w:space="0" w:color="auto"/>
                        <w:right w:val="none" w:sz="0" w:space="0" w:color="auto"/>
                      </w:divBdr>
                    </w:div>
                    <w:div w:id="870385235">
                      <w:marLeft w:val="0"/>
                      <w:marRight w:val="0"/>
                      <w:marTop w:val="0"/>
                      <w:marBottom w:val="0"/>
                      <w:divBdr>
                        <w:top w:val="none" w:sz="0" w:space="0" w:color="auto"/>
                        <w:left w:val="none" w:sz="0" w:space="0" w:color="auto"/>
                        <w:bottom w:val="none" w:sz="0" w:space="0" w:color="auto"/>
                        <w:right w:val="none" w:sz="0" w:space="0" w:color="auto"/>
                      </w:divBdr>
                    </w:div>
                    <w:div w:id="478767581">
                      <w:marLeft w:val="0"/>
                      <w:marRight w:val="0"/>
                      <w:marTop w:val="0"/>
                      <w:marBottom w:val="0"/>
                      <w:divBdr>
                        <w:top w:val="none" w:sz="0" w:space="0" w:color="auto"/>
                        <w:left w:val="none" w:sz="0" w:space="0" w:color="auto"/>
                        <w:bottom w:val="none" w:sz="0" w:space="0" w:color="auto"/>
                        <w:right w:val="none" w:sz="0" w:space="0" w:color="auto"/>
                      </w:divBdr>
                    </w:div>
                    <w:div w:id="1888834308">
                      <w:marLeft w:val="0"/>
                      <w:marRight w:val="0"/>
                      <w:marTop w:val="0"/>
                      <w:marBottom w:val="0"/>
                      <w:divBdr>
                        <w:top w:val="none" w:sz="0" w:space="0" w:color="auto"/>
                        <w:left w:val="none" w:sz="0" w:space="0" w:color="auto"/>
                        <w:bottom w:val="none" w:sz="0" w:space="0" w:color="auto"/>
                        <w:right w:val="none" w:sz="0" w:space="0" w:color="auto"/>
                      </w:divBdr>
                    </w:div>
                    <w:div w:id="1475025695">
                      <w:marLeft w:val="0"/>
                      <w:marRight w:val="0"/>
                      <w:marTop w:val="0"/>
                      <w:marBottom w:val="0"/>
                      <w:divBdr>
                        <w:top w:val="none" w:sz="0" w:space="0" w:color="auto"/>
                        <w:left w:val="none" w:sz="0" w:space="0" w:color="auto"/>
                        <w:bottom w:val="none" w:sz="0" w:space="0" w:color="auto"/>
                        <w:right w:val="none" w:sz="0" w:space="0" w:color="auto"/>
                      </w:divBdr>
                    </w:div>
                    <w:div w:id="2095778404">
                      <w:marLeft w:val="0"/>
                      <w:marRight w:val="0"/>
                      <w:marTop w:val="0"/>
                      <w:marBottom w:val="0"/>
                      <w:divBdr>
                        <w:top w:val="none" w:sz="0" w:space="0" w:color="auto"/>
                        <w:left w:val="none" w:sz="0" w:space="0" w:color="auto"/>
                        <w:bottom w:val="none" w:sz="0" w:space="0" w:color="auto"/>
                        <w:right w:val="none" w:sz="0" w:space="0" w:color="auto"/>
                      </w:divBdr>
                    </w:div>
                    <w:div w:id="703091439">
                      <w:marLeft w:val="0"/>
                      <w:marRight w:val="0"/>
                      <w:marTop w:val="0"/>
                      <w:marBottom w:val="0"/>
                      <w:divBdr>
                        <w:top w:val="none" w:sz="0" w:space="0" w:color="auto"/>
                        <w:left w:val="none" w:sz="0" w:space="0" w:color="auto"/>
                        <w:bottom w:val="none" w:sz="0" w:space="0" w:color="auto"/>
                        <w:right w:val="none" w:sz="0" w:space="0" w:color="auto"/>
                      </w:divBdr>
                    </w:div>
                    <w:div w:id="1304969752">
                      <w:marLeft w:val="0"/>
                      <w:marRight w:val="0"/>
                      <w:marTop w:val="0"/>
                      <w:marBottom w:val="0"/>
                      <w:divBdr>
                        <w:top w:val="none" w:sz="0" w:space="0" w:color="auto"/>
                        <w:left w:val="none" w:sz="0" w:space="0" w:color="auto"/>
                        <w:bottom w:val="none" w:sz="0" w:space="0" w:color="auto"/>
                        <w:right w:val="none" w:sz="0" w:space="0" w:color="auto"/>
                      </w:divBdr>
                    </w:div>
                    <w:div w:id="683944436">
                      <w:marLeft w:val="0"/>
                      <w:marRight w:val="0"/>
                      <w:marTop w:val="0"/>
                      <w:marBottom w:val="0"/>
                      <w:divBdr>
                        <w:top w:val="none" w:sz="0" w:space="0" w:color="auto"/>
                        <w:left w:val="none" w:sz="0" w:space="0" w:color="auto"/>
                        <w:bottom w:val="none" w:sz="0" w:space="0" w:color="auto"/>
                        <w:right w:val="none" w:sz="0" w:space="0" w:color="auto"/>
                      </w:divBdr>
                    </w:div>
                    <w:div w:id="490295463">
                      <w:marLeft w:val="0"/>
                      <w:marRight w:val="0"/>
                      <w:marTop w:val="0"/>
                      <w:marBottom w:val="0"/>
                      <w:divBdr>
                        <w:top w:val="none" w:sz="0" w:space="0" w:color="auto"/>
                        <w:left w:val="none" w:sz="0" w:space="0" w:color="auto"/>
                        <w:bottom w:val="none" w:sz="0" w:space="0" w:color="auto"/>
                        <w:right w:val="none" w:sz="0" w:space="0" w:color="auto"/>
                      </w:divBdr>
                    </w:div>
                    <w:div w:id="1056054239">
                      <w:marLeft w:val="0"/>
                      <w:marRight w:val="0"/>
                      <w:marTop w:val="0"/>
                      <w:marBottom w:val="0"/>
                      <w:divBdr>
                        <w:top w:val="none" w:sz="0" w:space="0" w:color="auto"/>
                        <w:left w:val="none" w:sz="0" w:space="0" w:color="auto"/>
                        <w:bottom w:val="none" w:sz="0" w:space="0" w:color="auto"/>
                        <w:right w:val="none" w:sz="0" w:space="0" w:color="auto"/>
                      </w:divBdr>
                    </w:div>
                    <w:div w:id="1377193734">
                      <w:marLeft w:val="0"/>
                      <w:marRight w:val="0"/>
                      <w:marTop w:val="0"/>
                      <w:marBottom w:val="0"/>
                      <w:divBdr>
                        <w:top w:val="none" w:sz="0" w:space="0" w:color="auto"/>
                        <w:left w:val="none" w:sz="0" w:space="0" w:color="auto"/>
                        <w:bottom w:val="none" w:sz="0" w:space="0" w:color="auto"/>
                        <w:right w:val="none" w:sz="0" w:space="0" w:color="auto"/>
                      </w:divBdr>
                    </w:div>
                    <w:div w:id="10194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69120">
      <w:bodyDiv w:val="1"/>
      <w:marLeft w:val="0"/>
      <w:marRight w:val="0"/>
      <w:marTop w:val="0"/>
      <w:marBottom w:val="0"/>
      <w:divBdr>
        <w:top w:val="none" w:sz="0" w:space="0" w:color="auto"/>
        <w:left w:val="none" w:sz="0" w:space="0" w:color="auto"/>
        <w:bottom w:val="none" w:sz="0" w:space="0" w:color="auto"/>
        <w:right w:val="none" w:sz="0" w:space="0" w:color="auto"/>
      </w:divBdr>
      <w:divsChild>
        <w:div w:id="1203443387">
          <w:marLeft w:val="0"/>
          <w:marRight w:val="0"/>
          <w:marTop w:val="0"/>
          <w:marBottom w:val="0"/>
          <w:divBdr>
            <w:top w:val="none" w:sz="0" w:space="0" w:color="auto"/>
            <w:left w:val="none" w:sz="0" w:space="0" w:color="auto"/>
            <w:bottom w:val="none" w:sz="0" w:space="0" w:color="auto"/>
            <w:right w:val="none" w:sz="0" w:space="0" w:color="auto"/>
          </w:divBdr>
        </w:div>
        <w:div w:id="5486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4293</Characters>
  <Application>Microsoft Office Word</Application>
  <DocSecurity>0</DocSecurity>
  <Lines>35</Lines>
  <Paragraphs>10</Paragraphs>
  <ScaleCrop>false</ScaleCrop>
  <Company>UNIFACS</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meire</dc:creator>
  <cp:keywords/>
  <dc:description/>
  <cp:lastModifiedBy>meire</cp:lastModifiedBy>
  <cp:revision>2</cp:revision>
  <dcterms:created xsi:type="dcterms:W3CDTF">2010-06-21T14:30:00Z</dcterms:created>
  <dcterms:modified xsi:type="dcterms:W3CDTF">2010-06-21T14:30:00Z</dcterms:modified>
</cp:coreProperties>
</file>