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00" w:type="pct"/>
        <w:jc w:val="center"/>
        <w:tblCellSpacing w:w="0" w:type="dxa"/>
        <w:tblCellMar>
          <w:left w:w="0" w:type="dxa"/>
          <w:right w:w="0" w:type="dxa"/>
        </w:tblCellMar>
        <w:tblLook w:val="04A0"/>
      </w:tblPr>
      <w:tblGrid>
        <w:gridCol w:w="1140"/>
        <w:gridCol w:w="4813"/>
      </w:tblGrid>
      <w:tr w:rsidR="001E4054" w:rsidRPr="001E4054" w:rsidTr="001E4054">
        <w:trPr>
          <w:tblCellSpacing w:w="0" w:type="dxa"/>
          <w:jc w:val="center"/>
        </w:trPr>
        <w:tc>
          <w:tcPr>
            <w:tcW w:w="700" w:type="pct"/>
            <w:vAlign w:val="center"/>
            <w:hideMark/>
          </w:tcPr>
          <w:p w:rsidR="001E4054" w:rsidRPr="001E4054" w:rsidRDefault="001E4054" w:rsidP="001E4054">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704850" cy="781050"/>
                  <wp:effectExtent l="19050" t="0" r="0" b="0"/>
                  <wp:docPr id="1" name="Imagem 1"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tra.gif (4376 bytes)"/>
                          <pic:cNvPicPr>
                            <a:picLocks noChangeAspect="1" noChangeArrowheads="1"/>
                          </pic:cNvPicPr>
                        </pic:nvPicPr>
                        <pic:blipFill>
                          <a:blip r:embed="rId4" cstate="print"/>
                          <a:srcRect/>
                          <a:stretch>
                            <a:fillRect/>
                          </a:stretch>
                        </pic:blipFill>
                        <pic:spPr bwMode="auto">
                          <a:xfrm>
                            <a:off x="0" y="0"/>
                            <a:ext cx="704850" cy="781050"/>
                          </a:xfrm>
                          <a:prstGeom prst="rect">
                            <a:avLst/>
                          </a:prstGeom>
                          <a:noFill/>
                          <a:ln w="9525">
                            <a:noFill/>
                            <a:miter lim="800000"/>
                            <a:headEnd/>
                            <a:tailEnd/>
                          </a:ln>
                        </pic:spPr>
                      </pic:pic>
                    </a:graphicData>
                  </a:graphic>
                </wp:inline>
              </w:drawing>
            </w:r>
          </w:p>
        </w:tc>
        <w:tc>
          <w:tcPr>
            <w:tcW w:w="4300" w:type="pct"/>
            <w:vAlign w:val="center"/>
            <w:hideMark/>
          </w:tcPr>
          <w:p w:rsidR="001E4054" w:rsidRPr="001E4054" w:rsidRDefault="001E4054" w:rsidP="001E40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E4054">
              <w:rPr>
                <w:rFonts w:ascii="Arial" w:eastAsia="Times New Roman" w:hAnsi="Arial" w:cs="Arial"/>
                <w:b/>
                <w:bCs/>
                <w:color w:val="808000"/>
                <w:sz w:val="36"/>
                <w:lang w:eastAsia="pt-BR"/>
              </w:rPr>
              <w:t>Presidência da República</w:t>
            </w:r>
            <w:r w:rsidRPr="001E4054">
              <w:rPr>
                <w:rFonts w:ascii="Arial" w:eastAsia="Times New Roman" w:hAnsi="Arial" w:cs="Arial"/>
                <w:b/>
                <w:bCs/>
                <w:color w:val="808000"/>
                <w:sz w:val="24"/>
                <w:szCs w:val="24"/>
                <w:lang w:eastAsia="pt-BR"/>
              </w:rPr>
              <w:br/>
            </w:r>
            <w:r w:rsidRPr="001E4054">
              <w:rPr>
                <w:rFonts w:ascii="Arial" w:eastAsia="Times New Roman" w:hAnsi="Arial" w:cs="Arial"/>
                <w:b/>
                <w:bCs/>
                <w:color w:val="808000"/>
                <w:sz w:val="27"/>
                <w:lang w:eastAsia="pt-BR"/>
              </w:rPr>
              <w:t>Casa Civil</w:t>
            </w:r>
            <w:r w:rsidRPr="001E4054">
              <w:rPr>
                <w:rFonts w:ascii="Arial" w:eastAsia="Times New Roman" w:hAnsi="Arial" w:cs="Arial"/>
                <w:b/>
                <w:bCs/>
                <w:color w:val="808000"/>
                <w:sz w:val="27"/>
                <w:szCs w:val="27"/>
                <w:lang w:eastAsia="pt-BR"/>
              </w:rPr>
              <w:br/>
            </w:r>
            <w:r w:rsidRPr="001E4054">
              <w:rPr>
                <w:rFonts w:ascii="Arial" w:eastAsia="Times New Roman" w:hAnsi="Arial" w:cs="Arial"/>
                <w:b/>
                <w:bCs/>
                <w:color w:val="808000"/>
                <w:sz w:val="24"/>
                <w:szCs w:val="24"/>
                <w:lang w:eastAsia="pt-BR"/>
              </w:rPr>
              <w:t>Subchefia para Assuntos Jurídicos</w:t>
            </w:r>
          </w:p>
        </w:tc>
      </w:tr>
    </w:tbl>
    <w:p w:rsidR="001E4054" w:rsidRPr="001E4054" w:rsidRDefault="001E4054" w:rsidP="001E4054">
      <w:pPr>
        <w:spacing w:before="100" w:beforeAutospacing="1" w:after="100" w:afterAutospacing="1" w:line="240" w:lineRule="auto"/>
        <w:jc w:val="center"/>
        <w:rPr>
          <w:rFonts w:ascii="Times New Roman" w:eastAsia="Times New Roman" w:hAnsi="Times New Roman" w:cs="Times New Roman"/>
          <w:sz w:val="24"/>
          <w:szCs w:val="24"/>
          <w:lang w:eastAsia="pt-BR"/>
        </w:rPr>
      </w:pPr>
      <w:hyperlink r:id="rId5" w:history="1">
        <w:r w:rsidRPr="001E4054">
          <w:rPr>
            <w:rFonts w:ascii="Arial" w:eastAsia="Times New Roman" w:hAnsi="Arial" w:cs="Arial"/>
            <w:b/>
            <w:bCs/>
            <w:color w:val="000080"/>
            <w:sz w:val="20"/>
            <w:u w:val="single"/>
            <w:lang w:eastAsia="pt-BR"/>
          </w:rPr>
          <w:t>LEI COMPLEMENTAR Nº 135, DE 4 DE JUNHO DE 2010</w:t>
        </w:r>
      </w:hyperlink>
    </w:p>
    <w:tbl>
      <w:tblPr>
        <w:tblW w:w="5000" w:type="pct"/>
        <w:tblCellSpacing w:w="0" w:type="dxa"/>
        <w:tblCellMar>
          <w:left w:w="0" w:type="dxa"/>
          <w:right w:w="0" w:type="dxa"/>
        </w:tblCellMar>
        <w:tblLook w:val="04A0"/>
      </w:tblPr>
      <w:tblGrid>
        <w:gridCol w:w="4252"/>
        <w:gridCol w:w="4252"/>
      </w:tblGrid>
      <w:tr w:rsidR="001E4054" w:rsidRPr="001E4054" w:rsidTr="001E4054">
        <w:trPr>
          <w:tblCellSpacing w:w="0" w:type="dxa"/>
        </w:trPr>
        <w:tc>
          <w:tcPr>
            <w:tcW w:w="2500" w:type="pct"/>
            <w:vAlign w:val="center"/>
            <w:hideMark/>
          </w:tcPr>
          <w:p w:rsidR="001E4054" w:rsidRPr="001E4054" w:rsidRDefault="001E4054" w:rsidP="001E4054">
            <w:pPr>
              <w:spacing w:after="0" w:line="240" w:lineRule="auto"/>
              <w:rPr>
                <w:rFonts w:ascii="Times New Roman" w:eastAsia="Times New Roman" w:hAnsi="Times New Roman" w:cs="Times New Roman"/>
                <w:sz w:val="24"/>
                <w:szCs w:val="24"/>
                <w:lang w:eastAsia="pt-BR"/>
              </w:rPr>
            </w:pPr>
            <w:r w:rsidRPr="001E4054">
              <w:rPr>
                <w:rFonts w:ascii="Times New Roman" w:eastAsia="Times New Roman" w:hAnsi="Times New Roman" w:cs="Times New Roman"/>
                <w:sz w:val="24"/>
                <w:szCs w:val="24"/>
                <w:lang w:eastAsia="pt-BR"/>
              </w:rPr>
              <w:t> </w:t>
            </w:r>
          </w:p>
        </w:tc>
        <w:tc>
          <w:tcPr>
            <w:tcW w:w="2500" w:type="pct"/>
            <w:vAlign w:val="center"/>
            <w:hideMark/>
          </w:tcPr>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800000"/>
                <w:sz w:val="20"/>
                <w:szCs w:val="20"/>
                <w:lang w:eastAsia="pt-BR"/>
              </w:rPr>
              <w:t xml:space="preserve">Altera a Lei Complementar </w:t>
            </w:r>
            <w:proofErr w:type="gramStart"/>
            <w:r w:rsidRPr="001E4054">
              <w:rPr>
                <w:rFonts w:ascii="Arial" w:eastAsia="Times New Roman" w:hAnsi="Arial" w:cs="Arial"/>
                <w:color w:val="800000"/>
                <w:sz w:val="20"/>
                <w:szCs w:val="20"/>
                <w:lang w:eastAsia="pt-BR"/>
              </w:rPr>
              <w:t>n</w:t>
            </w:r>
            <w:r w:rsidRPr="001E4054">
              <w:rPr>
                <w:rFonts w:ascii="Arial" w:eastAsia="Times New Roman" w:hAnsi="Arial" w:cs="Arial"/>
                <w:color w:val="800000"/>
                <w:sz w:val="20"/>
                <w:szCs w:val="20"/>
                <w:u w:val="single"/>
                <w:vertAlign w:val="superscript"/>
                <w:lang w:eastAsia="pt-BR"/>
              </w:rPr>
              <w:t>o</w:t>
            </w:r>
            <w:r w:rsidRPr="001E4054">
              <w:rPr>
                <w:rFonts w:ascii="Arial" w:eastAsia="Times New Roman" w:hAnsi="Arial" w:cs="Arial"/>
                <w:color w:val="800000"/>
                <w:sz w:val="20"/>
                <w:szCs w:val="20"/>
                <w:lang w:eastAsia="pt-BR"/>
              </w:rPr>
              <w:t xml:space="preserve"> 64</w:t>
            </w:r>
            <w:proofErr w:type="gramEnd"/>
            <w:r w:rsidRPr="001E4054">
              <w:rPr>
                <w:rFonts w:ascii="Arial" w:eastAsia="Times New Roman" w:hAnsi="Arial" w:cs="Arial"/>
                <w:color w:val="800000"/>
                <w:sz w:val="20"/>
                <w:szCs w:val="20"/>
                <w:lang w:eastAsia="pt-BR"/>
              </w:rPr>
              <w:t>, de 18 de maio de 1990, que estabelece, de acordo com o § 9</w:t>
            </w:r>
            <w:r w:rsidRPr="001E4054">
              <w:rPr>
                <w:rFonts w:ascii="Arial" w:eastAsia="Times New Roman" w:hAnsi="Arial" w:cs="Arial"/>
                <w:color w:val="800000"/>
                <w:sz w:val="20"/>
                <w:szCs w:val="20"/>
                <w:u w:val="single"/>
                <w:vertAlign w:val="superscript"/>
                <w:lang w:eastAsia="pt-BR"/>
              </w:rPr>
              <w:t>o</w:t>
            </w:r>
            <w:r w:rsidRPr="001E4054">
              <w:rPr>
                <w:rFonts w:ascii="Arial" w:eastAsia="Times New Roman" w:hAnsi="Arial" w:cs="Arial"/>
                <w:color w:val="800000"/>
                <w:sz w:val="20"/>
                <w:szCs w:val="20"/>
                <w:lang w:eastAsia="pt-BR"/>
              </w:rPr>
              <w:t xml:space="preserve"> do art. 14 da Constituição Federal, casos de inelegibilidade, prazos de cessação e determina outras providências, para incluir hipóteses de inelegibilidade que visam a proteger a probidade administrativa e a moralidade no exercício do mandato.</w:t>
            </w:r>
          </w:p>
        </w:tc>
      </w:tr>
    </w:tbl>
    <w:p w:rsidR="001E4054" w:rsidRPr="001E4054" w:rsidRDefault="001E4054" w:rsidP="001E4054">
      <w:pPr>
        <w:spacing w:before="100" w:beforeAutospacing="1" w:after="100" w:afterAutospacing="1" w:line="240" w:lineRule="auto"/>
        <w:ind w:firstLine="525"/>
        <w:jc w:val="both"/>
        <w:rPr>
          <w:rFonts w:ascii="Times New Roman" w:eastAsia="Times New Roman" w:hAnsi="Times New Roman" w:cs="Times New Roman"/>
          <w:sz w:val="24"/>
          <w:szCs w:val="24"/>
          <w:lang w:eastAsia="pt-BR"/>
        </w:rPr>
      </w:pPr>
      <w:proofErr w:type="gramStart"/>
      <w:r w:rsidRPr="001E4054">
        <w:rPr>
          <w:rFonts w:ascii="Arial" w:eastAsia="Times New Roman" w:hAnsi="Arial" w:cs="Arial"/>
          <w:b/>
          <w:bCs/>
          <w:color w:val="000000"/>
          <w:sz w:val="24"/>
          <w:szCs w:val="24"/>
          <w:lang w:eastAsia="pt-BR"/>
        </w:rPr>
        <w:t xml:space="preserve">O PRESIDENTE DA REPÚBLICA </w:t>
      </w:r>
      <w:r w:rsidRPr="001E4054">
        <w:rPr>
          <w:rFonts w:ascii="Arial" w:eastAsia="Times New Roman" w:hAnsi="Arial" w:cs="Arial"/>
          <w:color w:val="000000"/>
          <w:sz w:val="24"/>
          <w:szCs w:val="24"/>
          <w:lang w:eastAsia="pt-BR"/>
        </w:rPr>
        <w:t>Faço</w:t>
      </w:r>
      <w:proofErr w:type="gramEnd"/>
      <w:r w:rsidRPr="001E4054">
        <w:rPr>
          <w:rFonts w:ascii="Arial" w:eastAsia="Times New Roman" w:hAnsi="Arial" w:cs="Arial"/>
          <w:color w:val="000000"/>
          <w:sz w:val="24"/>
          <w:szCs w:val="24"/>
          <w:lang w:eastAsia="pt-BR"/>
        </w:rPr>
        <w:t xml:space="preserve"> saber que o Congresso Nacional decreta e eu sanciono a seguinte Lei Complementar: </w:t>
      </w:r>
    </w:p>
    <w:p w:rsidR="001E4054" w:rsidRPr="001E4054" w:rsidRDefault="001E4054" w:rsidP="001E4054">
      <w:pPr>
        <w:spacing w:before="100" w:beforeAutospacing="1" w:after="100" w:afterAutospacing="1" w:line="240" w:lineRule="auto"/>
        <w:ind w:firstLine="525"/>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Art. 1</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Esta Lei Complementar altera a Lei Complementar </w:t>
      </w:r>
      <w:proofErr w:type="gramStart"/>
      <w:r w:rsidRPr="001E4054">
        <w:rPr>
          <w:rFonts w:ascii="Arial" w:eastAsia="Times New Roman" w:hAnsi="Arial" w:cs="Arial"/>
          <w:color w:val="000000"/>
          <w:sz w:val="24"/>
          <w:szCs w:val="24"/>
          <w:lang w:eastAsia="pt-BR"/>
        </w:rPr>
        <w:t>n</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64</w:t>
      </w:r>
      <w:proofErr w:type="gramEnd"/>
      <w:r w:rsidRPr="001E4054">
        <w:rPr>
          <w:rFonts w:ascii="Arial" w:eastAsia="Times New Roman" w:hAnsi="Arial" w:cs="Arial"/>
          <w:color w:val="000000"/>
          <w:sz w:val="24"/>
          <w:szCs w:val="24"/>
          <w:lang w:eastAsia="pt-BR"/>
        </w:rPr>
        <w:t>, de 18 de maio de 1990, que estabelece, de acordo com o § 9</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do art. 14 da Constituição Federal, casos de inelegibilidade, prazos de cessação e determina outras providências. </w:t>
      </w:r>
    </w:p>
    <w:p w:rsidR="001E4054" w:rsidRPr="001E4054" w:rsidRDefault="001E4054" w:rsidP="001E4054">
      <w:pPr>
        <w:spacing w:before="100" w:beforeAutospacing="1" w:after="100" w:afterAutospacing="1" w:line="240" w:lineRule="auto"/>
        <w:ind w:firstLine="525"/>
        <w:rPr>
          <w:rFonts w:ascii="Times New Roman" w:eastAsia="Times New Roman" w:hAnsi="Times New Roman" w:cs="Times New Roman"/>
          <w:sz w:val="24"/>
          <w:szCs w:val="24"/>
          <w:lang w:eastAsia="pt-BR"/>
        </w:rPr>
      </w:pPr>
      <w:bookmarkStart w:id="0" w:name="art2"/>
      <w:bookmarkEnd w:id="0"/>
      <w:r w:rsidRPr="001E4054">
        <w:rPr>
          <w:rFonts w:ascii="Arial" w:eastAsia="Times New Roman" w:hAnsi="Arial" w:cs="Arial"/>
          <w:color w:val="000000"/>
          <w:sz w:val="24"/>
          <w:szCs w:val="24"/>
          <w:lang w:eastAsia="pt-BR"/>
        </w:rPr>
        <w:t>Art. 2</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A Lei Complementar </w:t>
      </w:r>
      <w:proofErr w:type="gramStart"/>
      <w:r w:rsidRPr="001E4054">
        <w:rPr>
          <w:rFonts w:ascii="Arial" w:eastAsia="Times New Roman" w:hAnsi="Arial" w:cs="Arial"/>
          <w:color w:val="000000"/>
          <w:sz w:val="24"/>
          <w:szCs w:val="24"/>
          <w:lang w:eastAsia="pt-BR"/>
        </w:rPr>
        <w:t>n</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64</w:t>
      </w:r>
      <w:proofErr w:type="gramEnd"/>
      <w:r w:rsidRPr="001E4054">
        <w:rPr>
          <w:rFonts w:ascii="Arial" w:eastAsia="Times New Roman" w:hAnsi="Arial" w:cs="Arial"/>
          <w:color w:val="000000"/>
          <w:sz w:val="24"/>
          <w:szCs w:val="24"/>
          <w:lang w:eastAsia="pt-BR"/>
        </w:rPr>
        <w:t>, de 1990, passa a vigorar com as seguintes alterações: </w:t>
      </w:r>
    </w:p>
    <w:p w:rsidR="001E4054" w:rsidRPr="001E4054" w:rsidRDefault="001E4054" w:rsidP="001E4054">
      <w:pPr>
        <w:spacing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“Art. 1</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6" w:anchor="art1c" w:history="1">
        <w:r w:rsidRPr="001E4054">
          <w:rPr>
            <w:rFonts w:ascii="Arial" w:eastAsia="Times New Roman" w:hAnsi="Arial" w:cs="Arial"/>
            <w:color w:val="0000FF"/>
            <w:sz w:val="24"/>
            <w:szCs w:val="24"/>
            <w:u w:val="single"/>
            <w:lang w:eastAsia="pt-BR"/>
          </w:rPr>
          <w:t xml:space="preserve">c) </w:t>
        </w:r>
      </w:hyperlink>
      <w:r w:rsidRPr="001E4054">
        <w:rPr>
          <w:rFonts w:ascii="Arial" w:eastAsia="Times New Roman" w:hAnsi="Arial" w:cs="Arial"/>
          <w:color w:val="000000"/>
          <w:sz w:val="24"/>
          <w:szCs w:val="24"/>
          <w:lang w:eastAsia="pt-BR"/>
        </w:rPr>
        <w:t xml:space="preserve">o Governador e o Vice-Governador de Estado e do Distrito Federal e o Prefeito e o Vice-Prefeito que perderem seus cargos eletivos por </w:t>
      </w:r>
      <w:proofErr w:type="spellStart"/>
      <w:r w:rsidRPr="001E4054">
        <w:rPr>
          <w:rFonts w:ascii="Arial" w:eastAsia="Times New Roman" w:hAnsi="Arial" w:cs="Arial"/>
          <w:color w:val="000000"/>
          <w:sz w:val="24"/>
          <w:szCs w:val="24"/>
          <w:lang w:eastAsia="pt-BR"/>
        </w:rPr>
        <w:t>infringência</w:t>
      </w:r>
      <w:proofErr w:type="spellEnd"/>
      <w:r w:rsidRPr="001E4054">
        <w:rPr>
          <w:rFonts w:ascii="Arial" w:eastAsia="Times New Roman" w:hAnsi="Arial" w:cs="Arial"/>
          <w:color w:val="000000"/>
          <w:sz w:val="24"/>
          <w:szCs w:val="24"/>
          <w:lang w:eastAsia="pt-BR"/>
        </w:rPr>
        <w:t xml:space="preserve"> a dispositivo da Constituição Estadual, da Lei Orgânica do Distrito Federal ou da Lei Orgânica do Município, para as eleições que se realizarem durante o período remanescente e nos 8 (oito) anos </w:t>
      </w:r>
      <w:proofErr w:type="spellStart"/>
      <w:r w:rsidRPr="001E4054">
        <w:rPr>
          <w:rFonts w:ascii="Arial" w:eastAsia="Times New Roman" w:hAnsi="Arial" w:cs="Arial"/>
          <w:color w:val="000000"/>
          <w:sz w:val="24"/>
          <w:szCs w:val="24"/>
          <w:lang w:eastAsia="pt-BR"/>
        </w:rPr>
        <w:t>subsequentes</w:t>
      </w:r>
      <w:proofErr w:type="spellEnd"/>
      <w:r w:rsidRPr="001E4054">
        <w:rPr>
          <w:rFonts w:ascii="Arial" w:eastAsia="Times New Roman" w:hAnsi="Arial" w:cs="Arial"/>
          <w:color w:val="000000"/>
          <w:sz w:val="24"/>
          <w:szCs w:val="24"/>
          <w:lang w:eastAsia="pt-BR"/>
        </w:rPr>
        <w:t xml:space="preserve"> ao término do mandato para o qual tenham sido eleitos;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d) os que tenham contra sua pessoa representação julgada procedente pela Justiça Eleitoral, em decisão transitada em julgado ou proferida por órgão colegiado, em processo de apuração de abuso do poder econômico ou político, para a eleição na qual concorrem ou tenham sido diplomados, bem como para as que se </w:t>
      </w:r>
      <w:proofErr w:type="gramStart"/>
      <w:r w:rsidRPr="001E4054">
        <w:rPr>
          <w:rFonts w:ascii="Arial" w:eastAsia="Times New Roman" w:hAnsi="Arial" w:cs="Arial"/>
          <w:color w:val="000000"/>
          <w:sz w:val="24"/>
          <w:szCs w:val="24"/>
          <w:lang w:eastAsia="pt-BR"/>
        </w:rPr>
        <w:t>realizarem nos</w:t>
      </w:r>
      <w:proofErr w:type="gramEnd"/>
      <w:r w:rsidRPr="001E4054">
        <w:rPr>
          <w:rFonts w:ascii="Arial" w:eastAsia="Times New Roman" w:hAnsi="Arial" w:cs="Arial"/>
          <w:color w:val="000000"/>
          <w:sz w:val="24"/>
          <w:szCs w:val="24"/>
          <w:lang w:eastAsia="pt-BR"/>
        </w:rPr>
        <w:t xml:space="preserve"> 8 (oito) anos seguintes;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e) os que forem condenados, em decisão transitada em julgado ou proferida por órgão judicial colegiado, desde a condenação até o transcurso do prazo de 8 (oito) anos após o cumprimento da pena, pelos crimes: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1. </w:t>
      </w:r>
      <w:proofErr w:type="gramStart"/>
      <w:r w:rsidRPr="001E4054">
        <w:rPr>
          <w:rFonts w:ascii="Arial" w:eastAsia="Times New Roman" w:hAnsi="Arial" w:cs="Arial"/>
          <w:color w:val="000000"/>
          <w:sz w:val="24"/>
          <w:szCs w:val="24"/>
          <w:lang w:eastAsia="pt-BR"/>
        </w:rPr>
        <w:t>contra</w:t>
      </w:r>
      <w:proofErr w:type="gramEnd"/>
      <w:r w:rsidRPr="001E4054">
        <w:rPr>
          <w:rFonts w:ascii="Arial" w:eastAsia="Times New Roman" w:hAnsi="Arial" w:cs="Arial"/>
          <w:color w:val="000000"/>
          <w:sz w:val="24"/>
          <w:szCs w:val="24"/>
          <w:lang w:eastAsia="pt-BR"/>
        </w:rPr>
        <w:t xml:space="preserve"> a economia popular, a fé pública, a administração pública e o patrimônio público;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lastRenderedPageBreak/>
        <w:t xml:space="preserve">2. </w:t>
      </w:r>
      <w:proofErr w:type="gramStart"/>
      <w:r w:rsidRPr="001E4054">
        <w:rPr>
          <w:rFonts w:ascii="Arial" w:eastAsia="Times New Roman" w:hAnsi="Arial" w:cs="Arial"/>
          <w:color w:val="000000"/>
          <w:sz w:val="24"/>
          <w:szCs w:val="24"/>
          <w:lang w:eastAsia="pt-BR"/>
        </w:rPr>
        <w:t>contra</w:t>
      </w:r>
      <w:proofErr w:type="gramEnd"/>
      <w:r w:rsidRPr="001E4054">
        <w:rPr>
          <w:rFonts w:ascii="Arial" w:eastAsia="Times New Roman" w:hAnsi="Arial" w:cs="Arial"/>
          <w:color w:val="000000"/>
          <w:sz w:val="24"/>
          <w:szCs w:val="24"/>
          <w:lang w:eastAsia="pt-BR"/>
        </w:rPr>
        <w:t xml:space="preserve"> o patrimônio privado, o sistema financeiro, o mercado de capitais e os previstos na lei que regula a falência;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3. </w:t>
      </w:r>
      <w:proofErr w:type="gramStart"/>
      <w:r w:rsidRPr="001E4054">
        <w:rPr>
          <w:rFonts w:ascii="Arial" w:eastAsia="Times New Roman" w:hAnsi="Arial" w:cs="Arial"/>
          <w:color w:val="000000"/>
          <w:sz w:val="24"/>
          <w:szCs w:val="24"/>
          <w:lang w:eastAsia="pt-BR"/>
        </w:rPr>
        <w:t>contra</w:t>
      </w:r>
      <w:proofErr w:type="gramEnd"/>
      <w:r w:rsidRPr="001E4054">
        <w:rPr>
          <w:rFonts w:ascii="Arial" w:eastAsia="Times New Roman" w:hAnsi="Arial" w:cs="Arial"/>
          <w:color w:val="000000"/>
          <w:sz w:val="24"/>
          <w:szCs w:val="24"/>
          <w:lang w:eastAsia="pt-BR"/>
        </w:rPr>
        <w:t xml:space="preserve"> o meio ambiente e a saúde pública;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4. </w:t>
      </w:r>
      <w:proofErr w:type="gramStart"/>
      <w:r w:rsidRPr="001E4054">
        <w:rPr>
          <w:rFonts w:ascii="Arial" w:eastAsia="Times New Roman" w:hAnsi="Arial" w:cs="Arial"/>
          <w:color w:val="000000"/>
          <w:sz w:val="24"/>
          <w:szCs w:val="24"/>
          <w:lang w:eastAsia="pt-BR"/>
        </w:rPr>
        <w:t>eleitorais</w:t>
      </w:r>
      <w:proofErr w:type="gramEnd"/>
      <w:r w:rsidRPr="001E4054">
        <w:rPr>
          <w:rFonts w:ascii="Arial" w:eastAsia="Times New Roman" w:hAnsi="Arial" w:cs="Arial"/>
          <w:color w:val="000000"/>
          <w:sz w:val="24"/>
          <w:szCs w:val="24"/>
          <w:lang w:eastAsia="pt-BR"/>
        </w:rPr>
        <w:t>, para os quais a lei comine pena privativa de liberdade;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5. </w:t>
      </w:r>
      <w:proofErr w:type="gramStart"/>
      <w:r w:rsidRPr="001E4054">
        <w:rPr>
          <w:rFonts w:ascii="Arial" w:eastAsia="Times New Roman" w:hAnsi="Arial" w:cs="Arial"/>
          <w:color w:val="000000"/>
          <w:sz w:val="24"/>
          <w:szCs w:val="24"/>
          <w:lang w:eastAsia="pt-BR"/>
        </w:rPr>
        <w:t>de</w:t>
      </w:r>
      <w:proofErr w:type="gramEnd"/>
      <w:r w:rsidRPr="001E4054">
        <w:rPr>
          <w:rFonts w:ascii="Arial" w:eastAsia="Times New Roman" w:hAnsi="Arial" w:cs="Arial"/>
          <w:color w:val="000000"/>
          <w:sz w:val="24"/>
          <w:szCs w:val="24"/>
          <w:lang w:eastAsia="pt-BR"/>
        </w:rPr>
        <w:t xml:space="preserve"> abuso de autoridade, nos casos em que houver condenação à perda do cargo ou à inabilitação para o exercício de função pública;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6. </w:t>
      </w:r>
      <w:proofErr w:type="gramStart"/>
      <w:r w:rsidRPr="001E4054">
        <w:rPr>
          <w:rFonts w:ascii="Arial" w:eastAsia="Times New Roman" w:hAnsi="Arial" w:cs="Arial"/>
          <w:color w:val="000000"/>
          <w:sz w:val="24"/>
          <w:szCs w:val="24"/>
          <w:lang w:eastAsia="pt-BR"/>
        </w:rPr>
        <w:t>de</w:t>
      </w:r>
      <w:proofErr w:type="gramEnd"/>
      <w:r w:rsidRPr="001E4054">
        <w:rPr>
          <w:rFonts w:ascii="Arial" w:eastAsia="Times New Roman" w:hAnsi="Arial" w:cs="Arial"/>
          <w:color w:val="000000"/>
          <w:sz w:val="24"/>
          <w:szCs w:val="24"/>
          <w:lang w:eastAsia="pt-BR"/>
        </w:rPr>
        <w:t xml:space="preserve"> lavagem ou ocultação de bens, direitos e valores;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7. </w:t>
      </w:r>
      <w:proofErr w:type="gramStart"/>
      <w:r w:rsidRPr="001E4054">
        <w:rPr>
          <w:rFonts w:ascii="Arial" w:eastAsia="Times New Roman" w:hAnsi="Arial" w:cs="Arial"/>
          <w:color w:val="000000"/>
          <w:sz w:val="24"/>
          <w:szCs w:val="24"/>
          <w:lang w:eastAsia="pt-BR"/>
        </w:rPr>
        <w:t>de</w:t>
      </w:r>
      <w:proofErr w:type="gramEnd"/>
      <w:r w:rsidRPr="001E4054">
        <w:rPr>
          <w:rFonts w:ascii="Arial" w:eastAsia="Times New Roman" w:hAnsi="Arial" w:cs="Arial"/>
          <w:color w:val="000000"/>
          <w:sz w:val="24"/>
          <w:szCs w:val="24"/>
          <w:lang w:eastAsia="pt-BR"/>
        </w:rPr>
        <w:t xml:space="preserve"> tráfico de entorpecentes e drogas afins, racismo, tortura, terrorismo e hediondos;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8. </w:t>
      </w:r>
      <w:proofErr w:type="gramStart"/>
      <w:r w:rsidRPr="001E4054">
        <w:rPr>
          <w:rFonts w:ascii="Arial" w:eastAsia="Times New Roman" w:hAnsi="Arial" w:cs="Arial"/>
          <w:color w:val="000000"/>
          <w:sz w:val="24"/>
          <w:szCs w:val="24"/>
          <w:lang w:eastAsia="pt-BR"/>
        </w:rPr>
        <w:t>de</w:t>
      </w:r>
      <w:proofErr w:type="gramEnd"/>
      <w:r w:rsidRPr="001E4054">
        <w:rPr>
          <w:rFonts w:ascii="Arial" w:eastAsia="Times New Roman" w:hAnsi="Arial" w:cs="Arial"/>
          <w:color w:val="000000"/>
          <w:sz w:val="24"/>
          <w:szCs w:val="24"/>
          <w:lang w:eastAsia="pt-BR"/>
        </w:rPr>
        <w:t xml:space="preserve"> redução à condição análoga à de escravo;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9. </w:t>
      </w:r>
      <w:proofErr w:type="gramStart"/>
      <w:r w:rsidRPr="001E4054">
        <w:rPr>
          <w:rFonts w:ascii="Arial" w:eastAsia="Times New Roman" w:hAnsi="Arial" w:cs="Arial"/>
          <w:color w:val="000000"/>
          <w:sz w:val="24"/>
          <w:szCs w:val="24"/>
          <w:lang w:eastAsia="pt-BR"/>
        </w:rPr>
        <w:t>contra</w:t>
      </w:r>
      <w:proofErr w:type="gramEnd"/>
      <w:r w:rsidRPr="001E4054">
        <w:rPr>
          <w:rFonts w:ascii="Arial" w:eastAsia="Times New Roman" w:hAnsi="Arial" w:cs="Arial"/>
          <w:color w:val="000000"/>
          <w:sz w:val="24"/>
          <w:szCs w:val="24"/>
          <w:lang w:eastAsia="pt-BR"/>
        </w:rPr>
        <w:t xml:space="preserve"> a vida e a dignidade sexual; e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10. </w:t>
      </w:r>
      <w:proofErr w:type="gramStart"/>
      <w:r w:rsidRPr="001E4054">
        <w:rPr>
          <w:rFonts w:ascii="Arial" w:eastAsia="Times New Roman" w:hAnsi="Arial" w:cs="Arial"/>
          <w:color w:val="000000"/>
          <w:sz w:val="24"/>
          <w:szCs w:val="24"/>
          <w:lang w:eastAsia="pt-BR"/>
        </w:rPr>
        <w:t>praticados</w:t>
      </w:r>
      <w:proofErr w:type="gramEnd"/>
      <w:r w:rsidRPr="001E4054">
        <w:rPr>
          <w:rFonts w:ascii="Arial" w:eastAsia="Times New Roman" w:hAnsi="Arial" w:cs="Arial"/>
          <w:color w:val="000000"/>
          <w:sz w:val="24"/>
          <w:szCs w:val="24"/>
          <w:lang w:eastAsia="pt-BR"/>
        </w:rPr>
        <w:t xml:space="preserve"> por organização criminosa, quadrilha ou bando;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f) os que forem declarados indignos do oficialato, ou com ele incompatíveis, pelo prazo de 8 (oito) anos;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g) 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w:t>
      </w:r>
      <w:proofErr w:type="gramStart"/>
      <w:r w:rsidRPr="001E4054">
        <w:rPr>
          <w:rFonts w:ascii="Arial" w:eastAsia="Times New Roman" w:hAnsi="Arial" w:cs="Arial"/>
          <w:color w:val="000000"/>
          <w:sz w:val="24"/>
          <w:szCs w:val="24"/>
          <w:lang w:eastAsia="pt-BR"/>
        </w:rPr>
        <w:t>realizarem nos</w:t>
      </w:r>
      <w:proofErr w:type="gramEnd"/>
      <w:r w:rsidRPr="001E4054">
        <w:rPr>
          <w:rFonts w:ascii="Arial" w:eastAsia="Times New Roman" w:hAnsi="Arial" w:cs="Arial"/>
          <w:color w:val="000000"/>
          <w:sz w:val="24"/>
          <w:szCs w:val="24"/>
          <w:lang w:eastAsia="pt-BR"/>
        </w:rPr>
        <w:t xml:space="preserve"> 8 (oito) anos seguintes, contados a partir da data da decisão, aplicando-se o disposto no inciso II do art. 71 da Constituição Federal, a todos os ordenadores de despesa, sem exclusão de mandatários que houverem agido nessa condição;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h) os detentores de cargo na administração pública direta, indireta ou </w:t>
      </w:r>
      <w:proofErr w:type="spellStart"/>
      <w:r w:rsidRPr="001E4054">
        <w:rPr>
          <w:rFonts w:ascii="Arial" w:eastAsia="Times New Roman" w:hAnsi="Arial" w:cs="Arial"/>
          <w:color w:val="000000"/>
          <w:sz w:val="24"/>
          <w:szCs w:val="24"/>
          <w:lang w:eastAsia="pt-BR"/>
        </w:rPr>
        <w:t>fundacional</w:t>
      </w:r>
      <w:proofErr w:type="spellEnd"/>
      <w:r w:rsidRPr="001E4054">
        <w:rPr>
          <w:rFonts w:ascii="Arial" w:eastAsia="Times New Roman" w:hAnsi="Arial" w:cs="Arial"/>
          <w:color w:val="000000"/>
          <w:sz w:val="24"/>
          <w:szCs w:val="24"/>
          <w:lang w:eastAsia="pt-BR"/>
        </w:rPr>
        <w:t xml:space="preserve">, que beneficiarem a si ou a terceiros, pelo abuso do poder econômico ou político, que forem condenados em decisão transitada em julgado ou proferida por órgão judicial colegiado, para a eleição na qual concorrem ou tenham sido diplomados, bem como para as que se </w:t>
      </w:r>
      <w:proofErr w:type="gramStart"/>
      <w:r w:rsidRPr="001E4054">
        <w:rPr>
          <w:rFonts w:ascii="Arial" w:eastAsia="Times New Roman" w:hAnsi="Arial" w:cs="Arial"/>
          <w:color w:val="000000"/>
          <w:sz w:val="24"/>
          <w:szCs w:val="24"/>
          <w:lang w:eastAsia="pt-BR"/>
        </w:rPr>
        <w:t>realizarem nos</w:t>
      </w:r>
      <w:proofErr w:type="gramEnd"/>
      <w:r w:rsidRPr="001E4054">
        <w:rPr>
          <w:rFonts w:ascii="Arial" w:eastAsia="Times New Roman" w:hAnsi="Arial" w:cs="Arial"/>
          <w:color w:val="000000"/>
          <w:sz w:val="24"/>
          <w:szCs w:val="24"/>
          <w:lang w:eastAsia="pt-BR"/>
        </w:rPr>
        <w:t xml:space="preserve"> 8 (oito) anos seguintes;</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7" w:anchor="art1j" w:history="1">
        <w:r w:rsidRPr="001E4054">
          <w:rPr>
            <w:rFonts w:ascii="Arial" w:eastAsia="Times New Roman" w:hAnsi="Arial" w:cs="Arial"/>
            <w:color w:val="0000FF"/>
            <w:sz w:val="24"/>
            <w:szCs w:val="24"/>
            <w:u w:val="single"/>
            <w:lang w:eastAsia="pt-BR"/>
          </w:rPr>
          <w:t xml:space="preserve">j) </w:t>
        </w:r>
      </w:hyperlink>
      <w:r w:rsidRPr="001E4054">
        <w:rPr>
          <w:rFonts w:ascii="Arial" w:eastAsia="Times New Roman" w:hAnsi="Arial" w:cs="Arial"/>
          <w:color w:val="000000"/>
          <w:sz w:val="24"/>
          <w:szCs w:val="24"/>
          <w:lang w:eastAsia="pt-BR"/>
        </w:rPr>
        <w:t>os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pelo prazo de 8 (oito) anos a contar da eleição;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lastRenderedPageBreak/>
        <w:t xml:space="preserve">k) o Presidente da República, o Governador de Estado e do Distrito Federal, o Prefeito, os membros do Congresso Nacional, das </w:t>
      </w:r>
      <w:proofErr w:type="spellStart"/>
      <w:r w:rsidRPr="001E4054">
        <w:rPr>
          <w:rFonts w:ascii="Arial" w:eastAsia="Times New Roman" w:hAnsi="Arial" w:cs="Arial"/>
          <w:color w:val="000000"/>
          <w:sz w:val="24"/>
          <w:szCs w:val="24"/>
          <w:lang w:eastAsia="pt-BR"/>
        </w:rPr>
        <w:t>Assembleias</w:t>
      </w:r>
      <w:proofErr w:type="spellEnd"/>
      <w:r w:rsidRPr="001E4054">
        <w:rPr>
          <w:rFonts w:ascii="Arial" w:eastAsia="Times New Roman" w:hAnsi="Arial" w:cs="Arial"/>
          <w:color w:val="000000"/>
          <w:sz w:val="24"/>
          <w:szCs w:val="24"/>
          <w:lang w:eastAsia="pt-BR"/>
        </w:rPr>
        <w:t xml:space="preserve"> Legislativas, da Câmara Legislativa, das Câmaras Municipais, que renunciarem a seus mandatos desde o oferecimento de representação ou petição capaz de autorizar a abertura de processo por </w:t>
      </w:r>
      <w:proofErr w:type="spellStart"/>
      <w:r w:rsidRPr="001E4054">
        <w:rPr>
          <w:rFonts w:ascii="Arial" w:eastAsia="Times New Roman" w:hAnsi="Arial" w:cs="Arial"/>
          <w:color w:val="000000"/>
          <w:sz w:val="24"/>
          <w:szCs w:val="24"/>
          <w:lang w:eastAsia="pt-BR"/>
        </w:rPr>
        <w:t>infringência</w:t>
      </w:r>
      <w:proofErr w:type="spellEnd"/>
      <w:r w:rsidRPr="001E4054">
        <w:rPr>
          <w:rFonts w:ascii="Arial" w:eastAsia="Times New Roman" w:hAnsi="Arial" w:cs="Arial"/>
          <w:color w:val="000000"/>
          <w:sz w:val="24"/>
          <w:szCs w:val="24"/>
          <w:lang w:eastAsia="pt-BR"/>
        </w:rPr>
        <w:t xml:space="preserve"> </w:t>
      </w:r>
      <w:proofErr w:type="gramStart"/>
      <w:r w:rsidRPr="001E4054">
        <w:rPr>
          <w:rFonts w:ascii="Arial" w:eastAsia="Times New Roman" w:hAnsi="Arial" w:cs="Arial"/>
          <w:color w:val="000000"/>
          <w:sz w:val="24"/>
          <w:szCs w:val="24"/>
          <w:lang w:eastAsia="pt-BR"/>
        </w:rPr>
        <w:t>a dispositivo</w:t>
      </w:r>
      <w:proofErr w:type="gramEnd"/>
      <w:r w:rsidRPr="001E4054">
        <w:rPr>
          <w:rFonts w:ascii="Arial" w:eastAsia="Times New Roman" w:hAnsi="Arial" w:cs="Arial"/>
          <w:color w:val="000000"/>
          <w:sz w:val="24"/>
          <w:szCs w:val="24"/>
          <w:lang w:eastAsia="pt-BR"/>
        </w:rPr>
        <w:t xml:space="preserve"> da Constituição Federal, da Constituição Estadual, da Lei Orgânica do Distrito Federal ou da Lei Orgânica do Município, para as eleições que se realizarem durante o período remanescente do mandato para o qual foram eleitos e nos 8 (oito) anos </w:t>
      </w:r>
      <w:proofErr w:type="spellStart"/>
      <w:r w:rsidRPr="001E4054">
        <w:rPr>
          <w:rFonts w:ascii="Arial" w:eastAsia="Times New Roman" w:hAnsi="Arial" w:cs="Arial"/>
          <w:color w:val="000000"/>
          <w:sz w:val="24"/>
          <w:szCs w:val="24"/>
          <w:lang w:eastAsia="pt-BR"/>
        </w:rPr>
        <w:t>subsequentes</w:t>
      </w:r>
      <w:proofErr w:type="spellEnd"/>
      <w:r w:rsidRPr="001E4054">
        <w:rPr>
          <w:rFonts w:ascii="Arial" w:eastAsia="Times New Roman" w:hAnsi="Arial" w:cs="Arial"/>
          <w:color w:val="000000"/>
          <w:sz w:val="24"/>
          <w:szCs w:val="24"/>
          <w:lang w:eastAsia="pt-BR"/>
        </w:rPr>
        <w:t xml:space="preserve"> ao término da legislatura;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l) os que forem condenados à suspensão dos direitos políticos, em decisão transitada em julgado ou proferida por órgão judicial colegiado, por ato doloso de improbidade administrativa que importe lesão ao patrimônio público e enriquecimento ilícito, desde a condenação ou o trânsito em julgado até o transcurso do prazo de 8 (oito) anos após o cumprimento da pena;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m) os que forem excluídos do exercício da profissão, por decisão </w:t>
      </w:r>
      <w:proofErr w:type="spellStart"/>
      <w:r w:rsidRPr="001E4054">
        <w:rPr>
          <w:rFonts w:ascii="Arial" w:eastAsia="Times New Roman" w:hAnsi="Arial" w:cs="Arial"/>
          <w:color w:val="000000"/>
          <w:sz w:val="24"/>
          <w:szCs w:val="24"/>
          <w:lang w:eastAsia="pt-BR"/>
        </w:rPr>
        <w:t>sancionatória</w:t>
      </w:r>
      <w:proofErr w:type="spellEnd"/>
      <w:r w:rsidRPr="001E4054">
        <w:rPr>
          <w:rFonts w:ascii="Arial" w:eastAsia="Times New Roman" w:hAnsi="Arial" w:cs="Arial"/>
          <w:color w:val="000000"/>
          <w:sz w:val="24"/>
          <w:szCs w:val="24"/>
          <w:lang w:eastAsia="pt-BR"/>
        </w:rPr>
        <w:t xml:space="preserve"> do órgão profissional competente, em decorrência de infração ético-profissional, pelo prazo de 8 (oito) anos, salvo se o ato houver sido anulado ou suspenso pelo Poder Judiciário;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n) os que forem condenados, em decisão transitada em julgado ou proferida por órgão judicial colegiado, em razão de terem desfeito ou simulado desfazer vínculo conjugal ou de união estável para evitar caracterização de inelegibilidade, pelo prazo de 8 (oito) anos após a decisão que reconhecer a fraude;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o) os que forem demitidos do serviço público em decorrência de processo administrativo ou judicial, pelo prazo de 8 (oito) anos, contado da decisão, salvo se o ato houver sido suspenso ou anulado pelo Poder Judiciário;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p) a pessoa física e os dirigentes de pessoas jurídicas responsáveis por doações eleitorais tidas por ilegais por decisão transitada em julgado ou proferida por órgão colegiado da Justiça Eleitoral, pelo prazo de 8 (oito) anos após a decisão, observando-se o procedimento previsto no art. 22;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q) os magistrados e os membros do Ministério Público que forem aposentados compulsoriamente por decisão </w:t>
      </w:r>
      <w:proofErr w:type="spellStart"/>
      <w:r w:rsidRPr="001E4054">
        <w:rPr>
          <w:rFonts w:ascii="Arial" w:eastAsia="Times New Roman" w:hAnsi="Arial" w:cs="Arial"/>
          <w:color w:val="000000"/>
          <w:sz w:val="24"/>
          <w:szCs w:val="24"/>
          <w:lang w:eastAsia="pt-BR"/>
        </w:rPr>
        <w:t>sancionatória</w:t>
      </w:r>
      <w:proofErr w:type="spellEnd"/>
      <w:r w:rsidRPr="001E4054">
        <w:rPr>
          <w:rFonts w:ascii="Arial" w:eastAsia="Times New Roman" w:hAnsi="Arial" w:cs="Arial"/>
          <w:color w:val="000000"/>
          <w:sz w:val="24"/>
          <w:szCs w:val="24"/>
          <w:lang w:eastAsia="pt-BR"/>
        </w:rPr>
        <w:t>, que tenham perdido o cargo por sentença ou que tenham pedido exoneração ou aposentadoria voluntária na pendência de processo administrativo disciplinar, pelo prazo de 8 (oito) anos;</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8" w:anchor="art1vii§4" w:history="1">
        <w:r w:rsidRPr="001E4054">
          <w:rPr>
            <w:rFonts w:ascii="Arial" w:eastAsia="Times New Roman" w:hAnsi="Arial" w:cs="Arial"/>
            <w:color w:val="0000FF"/>
            <w:sz w:val="24"/>
            <w:szCs w:val="24"/>
            <w:u w:val="single"/>
            <w:lang w:eastAsia="pt-BR"/>
          </w:rPr>
          <w:t>§ 4</w:t>
        </w:r>
        <w:r w:rsidRPr="001E4054">
          <w:rPr>
            <w:rFonts w:ascii="Arial" w:eastAsia="Times New Roman" w:hAnsi="Arial" w:cs="Arial"/>
            <w:color w:val="0000FF"/>
            <w:sz w:val="24"/>
            <w:szCs w:val="24"/>
            <w:u w:val="single"/>
            <w:vertAlign w:val="superscript"/>
            <w:lang w:eastAsia="pt-BR"/>
          </w:rPr>
          <w:t>o</w:t>
        </w:r>
        <w:r w:rsidRPr="001E4054">
          <w:rPr>
            <w:rFonts w:ascii="Arial" w:eastAsia="Times New Roman" w:hAnsi="Arial" w:cs="Arial"/>
            <w:color w:val="0000FF"/>
            <w:sz w:val="24"/>
            <w:szCs w:val="24"/>
            <w:u w:val="single"/>
            <w:lang w:eastAsia="pt-BR"/>
          </w:rPr>
          <w:t> </w:t>
        </w:r>
      </w:hyperlink>
      <w:r w:rsidRPr="001E4054">
        <w:rPr>
          <w:rFonts w:ascii="Arial" w:eastAsia="Times New Roman" w:hAnsi="Arial" w:cs="Arial"/>
          <w:color w:val="000000"/>
          <w:sz w:val="24"/>
          <w:szCs w:val="24"/>
          <w:lang w:eastAsia="pt-BR"/>
        </w:rPr>
        <w:t xml:space="preserve"> A inelegibilidade prevista na alínea </w:t>
      </w:r>
      <w:r w:rsidRPr="001E4054">
        <w:rPr>
          <w:rFonts w:ascii="Arial" w:eastAsia="Times New Roman" w:hAnsi="Arial" w:cs="Arial"/>
          <w:i/>
          <w:iCs/>
          <w:color w:val="000000"/>
          <w:sz w:val="24"/>
          <w:szCs w:val="24"/>
          <w:lang w:eastAsia="pt-BR"/>
        </w:rPr>
        <w:t>e</w:t>
      </w:r>
      <w:r w:rsidRPr="001E4054">
        <w:rPr>
          <w:rFonts w:ascii="Arial" w:eastAsia="Times New Roman" w:hAnsi="Arial" w:cs="Arial"/>
          <w:color w:val="000000"/>
          <w:sz w:val="24"/>
          <w:szCs w:val="24"/>
          <w:lang w:eastAsia="pt-BR"/>
        </w:rPr>
        <w:t xml:space="preserve"> do inciso I deste artigo não se aplica aos crimes culposos e àqueles definidos em lei como de menor potencial ofensivo, nem aos crimes de ação penal privada.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5</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A renúncia para atender à desincompatibilização com vistas </w:t>
      </w:r>
      <w:proofErr w:type="gramStart"/>
      <w:r w:rsidRPr="001E4054">
        <w:rPr>
          <w:rFonts w:ascii="Arial" w:eastAsia="Times New Roman" w:hAnsi="Arial" w:cs="Arial"/>
          <w:color w:val="000000"/>
          <w:sz w:val="24"/>
          <w:szCs w:val="24"/>
          <w:lang w:eastAsia="pt-BR"/>
        </w:rPr>
        <w:t>a</w:t>
      </w:r>
      <w:proofErr w:type="gramEnd"/>
      <w:r w:rsidRPr="001E4054">
        <w:rPr>
          <w:rFonts w:ascii="Arial" w:eastAsia="Times New Roman" w:hAnsi="Arial" w:cs="Arial"/>
          <w:color w:val="000000"/>
          <w:sz w:val="24"/>
          <w:szCs w:val="24"/>
          <w:lang w:eastAsia="pt-BR"/>
        </w:rPr>
        <w:t xml:space="preserve"> candidatura a cargo eletivo ou para assunção de mandato não gerará a inelegibilidade </w:t>
      </w:r>
      <w:r w:rsidRPr="001E4054">
        <w:rPr>
          <w:rFonts w:ascii="Arial" w:eastAsia="Times New Roman" w:hAnsi="Arial" w:cs="Arial"/>
          <w:color w:val="000000"/>
          <w:sz w:val="24"/>
          <w:szCs w:val="24"/>
          <w:lang w:eastAsia="pt-BR"/>
        </w:rPr>
        <w:lastRenderedPageBreak/>
        <w:t xml:space="preserve">prevista na alínea </w:t>
      </w:r>
      <w:r w:rsidRPr="001E4054">
        <w:rPr>
          <w:rFonts w:ascii="Arial" w:eastAsia="Times New Roman" w:hAnsi="Arial" w:cs="Arial"/>
          <w:i/>
          <w:iCs/>
          <w:color w:val="000000"/>
          <w:sz w:val="24"/>
          <w:szCs w:val="24"/>
          <w:lang w:eastAsia="pt-BR"/>
        </w:rPr>
        <w:t>k</w:t>
      </w:r>
      <w:r w:rsidRPr="001E4054">
        <w:rPr>
          <w:rFonts w:ascii="Arial" w:eastAsia="Times New Roman" w:hAnsi="Arial" w:cs="Arial"/>
          <w:color w:val="000000"/>
          <w:sz w:val="24"/>
          <w:szCs w:val="24"/>
          <w:lang w:eastAsia="pt-BR"/>
        </w:rPr>
        <w:t>, a menos que a Justiça Eleitoral reconheça fraude ao disposto nesta Lei Complementar.” (NR)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9" w:anchor="art15" w:history="1">
        <w:r w:rsidRPr="001E4054">
          <w:rPr>
            <w:rFonts w:ascii="Arial" w:eastAsia="Times New Roman" w:hAnsi="Arial" w:cs="Arial"/>
            <w:color w:val="0000FF"/>
            <w:sz w:val="24"/>
            <w:szCs w:val="24"/>
            <w:u w:val="single"/>
            <w:lang w:eastAsia="pt-BR"/>
          </w:rPr>
          <w:t>“Art. 15.</w:t>
        </w:r>
      </w:hyperlink>
      <w:r w:rsidRPr="001E4054">
        <w:rPr>
          <w:rFonts w:ascii="Arial" w:eastAsia="Times New Roman" w:hAnsi="Arial" w:cs="Arial"/>
          <w:color w:val="000000"/>
          <w:sz w:val="24"/>
          <w:szCs w:val="24"/>
          <w:lang w:eastAsia="pt-BR"/>
        </w:rPr>
        <w:t>  Transitada em julgado ou publicada a decisão proferida por órgão colegiado que declarar a inelegibilidade do candidato, ser-lhe-á negado registro, ou cancelado, se já tiver sido feito, ou declarado nulo o diploma, se já expedido.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1E4054">
        <w:rPr>
          <w:rFonts w:ascii="Arial" w:eastAsia="Times New Roman" w:hAnsi="Arial" w:cs="Arial"/>
          <w:color w:val="000000"/>
          <w:sz w:val="24"/>
          <w:szCs w:val="24"/>
          <w:lang w:eastAsia="pt-BR"/>
        </w:rPr>
        <w:t xml:space="preserve">Parágrafo único.  A decisão a que se refere o </w:t>
      </w:r>
      <w:r w:rsidRPr="001E4054">
        <w:rPr>
          <w:rFonts w:ascii="Arial" w:eastAsia="Times New Roman" w:hAnsi="Arial" w:cs="Arial"/>
          <w:b/>
          <w:bCs/>
          <w:color w:val="000000"/>
          <w:sz w:val="24"/>
          <w:szCs w:val="24"/>
          <w:lang w:eastAsia="pt-BR"/>
        </w:rPr>
        <w:t>caput</w:t>
      </w:r>
      <w:r w:rsidRPr="001E4054">
        <w:rPr>
          <w:rFonts w:ascii="Arial" w:eastAsia="Times New Roman" w:hAnsi="Arial" w:cs="Arial"/>
          <w:color w:val="000000"/>
          <w:sz w:val="24"/>
          <w:szCs w:val="24"/>
          <w:lang w:eastAsia="pt-BR"/>
        </w:rPr>
        <w:t>, independentemente da apresentação de recurso, deverá ser comunicada, de imediato, ao Ministério Público Eleitoral e ao órgão da Justiça Eleitoral competente para o registro de candidatura e expedição de diploma do réu.”</w:t>
      </w:r>
      <w:proofErr w:type="gramEnd"/>
      <w:r w:rsidRPr="001E4054">
        <w:rPr>
          <w:rFonts w:ascii="Arial" w:eastAsia="Times New Roman" w:hAnsi="Arial" w:cs="Arial"/>
          <w:color w:val="000000"/>
          <w:sz w:val="24"/>
          <w:szCs w:val="24"/>
          <w:lang w:eastAsia="pt-BR"/>
        </w:rPr>
        <w:t xml:space="preserve"> (NR)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10" w:anchor="art22xiv" w:history="1">
        <w:r w:rsidRPr="001E4054">
          <w:rPr>
            <w:rFonts w:ascii="Arial" w:eastAsia="Times New Roman" w:hAnsi="Arial" w:cs="Arial"/>
            <w:color w:val="0000FF"/>
            <w:sz w:val="24"/>
            <w:szCs w:val="24"/>
            <w:u w:val="single"/>
            <w:lang w:eastAsia="pt-BR"/>
          </w:rPr>
          <w:t>“Art. 22. </w:t>
        </w:r>
      </w:hyperlink>
      <w:r w:rsidRPr="001E4054">
        <w:rPr>
          <w:rFonts w:ascii="Arial" w:eastAsia="Times New Roman" w:hAnsi="Arial" w:cs="Arial"/>
          <w:color w:val="000000"/>
          <w:sz w:val="24"/>
          <w:szCs w:val="24"/>
          <w:lang w:eastAsia="pt-BR"/>
        </w:rPr>
        <w:t xml:space="preserve">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xml:space="preserve">XIV – julgada procedente a representação, ainda que após a proclamação dos eleitos, o Tribunal declarará a inelegibilidade do representado e de quantos hajam contribuído para a prática do ato, cominando-lhes sanção de inelegibilidade para as eleições a se </w:t>
      </w:r>
      <w:proofErr w:type="gramStart"/>
      <w:r w:rsidRPr="001E4054">
        <w:rPr>
          <w:rFonts w:ascii="Arial" w:eastAsia="Times New Roman" w:hAnsi="Arial" w:cs="Arial"/>
          <w:color w:val="000000"/>
          <w:sz w:val="24"/>
          <w:szCs w:val="24"/>
          <w:lang w:eastAsia="pt-BR"/>
        </w:rPr>
        <w:t>realizarem nos</w:t>
      </w:r>
      <w:proofErr w:type="gramEnd"/>
      <w:r w:rsidRPr="001E4054">
        <w:rPr>
          <w:rFonts w:ascii="Arial" w:eastAsia="Times New Roman" w:hAnsi="Arial" w:cs="Arial"/>
          <w:color w:val="000000"/>
          <w:sz w:val="24"/>
          <w:szCs w:val="24"/>
          <w:lang w:eastAsia="pt-BR"/>
        </w:rPr>
        <w:t xml:space="preserve"> 8 (oito) anos </w:t>
      </w:r>
      <w:proofErr w:type="spellStart"/>
      <w:r w:rsidRPr="001E4054">
        <w:rPr>
          <w:rFonts w:ascii="Arial" w:eastAsia="Times New Roman" w:hAnsi="Arial" w:cs="Arial"/>
          <w:color w:val="000000"/>
          <w:sz w:val="24"/>
          <w:szCs w:val="24"/>
          <w:lang w:eastAsia="pt-BR"/>
        </w:rPr>
        <w:t>subsequentes</w:t>
      </w:r>
      <w:proofErr w:type="spellEnd"/>
      <w:r w:rsidRPr="001E4054">
        <w:rPr>
          <w:rFonts w:ascii="Arial" w:eastAsia="Times New Roman" w:hAnsi="Arial" w:cs="Arial"/>
          <w:color w:val="000000"/>
          <w:sz w:val="24"/>
          <w:szCs w:val="24"/>
          <w:lang w:eastAsia="pt-BR"/>
        </w:rPr>
        <w:t xml:space="preserve"> à eleição em que se verificou, além da cassação do registro ou diploma do candidato diretamente beneficiado pela interferência do poder econômico ou pelo desvio ou abuso do poder de autoridade ou dos meios de comunicação, determinando a remessa dos autos ao Ministério Público Eleitoral, para instauração de processo disciplinar, se for o caso, e de ação penal, ordenando quaisquer outras providências que a espécie comportar;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11" w:anchor="art22xv" w:history="1">
        <w:r w:rsidRPr="001E4054">
          <w:rPr>
            <w:rFonts w:ascii="Arial" w:eastAsia="Times New Roman" w:hAnsi="Arial" w:cs="Arial"/>
            <w:color w:val="0000FF"/>
            <w:sz w:val="24"/>
            <w:szCs w:val="24"/>
            <w:u w:val="single"/>
            <w:lang w:eastAsia="pt-BR"/>
          </w:rPr>
          <w:t>XV –</w:t>
        </w:r>
      </w:hyperlink>
      <w:r w:rsidRPr="001E4054">
        <w:rPr>
          <w:rFonts w:ascii="Arial" w:eastAsia="Times New Roman" w:hAnsi="Arial" w:cs="Arial"/>
          <w:color w:val="000000"/>
          <w:sz w:val="24"/>
          <w:szCs w:val="24"/>
          <w:lang w:eastAsia="pt-BR"/>
        </w:rPr>
        <w:t xml:space="preserve"> (revogado);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12" w:anchor="art22xvi" w:history="1">
        <w:r w:rsidRPr="001E4054">
          <w:rPr>
            <w:rFonts w:ascii="Arial" w:eastAsia="Times New Roman" w:hAnsi="Arial" w:cs="Arial"/>
            <w:color w:val="0000FF"/>
            <w:sz w:val="24"/>
            <w:szCs w:val="24"/>
            <w:u w:val="single"/>
            <w:lang w:eastAsia="pt-BR"/>
          </w:rPr>
          <w:t>XVI –</w:t>
        </w:r>
      </w:hyperlink>
      <w:r w:rsidRPr="001E4054">
        <w:rPr>
          <w:rFonts w:ascii="Arial" w:eastAsia="Times New Roman" w:hAnsi="Arial" w:cs="Arial"/>
          <w:color w:val="000000"/>
          <w:sz w:val="24"/>
          <w:szCs w:val="24"/>
          <w:lang w:eastAsia="pt-BR"/>
        </w:rPr>
        <w:t xml:space="preserve"> para a configuração do ato abusivo, não será considerada a potencialidade de o fato alterar o resultado da eleição, mas apenas a gravidade das circunstâncias que o caracterizam.</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w:t>
      </w:r>
      <w:proofErr w:type="gramStart"/>
      <w:r w:rsidRPr="001E4054">
        <w:rPr>
          <w:rFonts w:ascii="Arial" w:eastAsia="Times New Roman" w:hAnsi="Arial" w:cs="Arial"/>
          <w:color w:val="000000"/>
          <w:sz w:val="24"/>
          <w:szCs w:val="24"/>
          <w:lang w:eastAsia="pt-BR"/>
        </w:rPr>
        <w:t>..”</w:t>
      </w:r>
      <w:proofErr w:type="gramEnd"/>
      <w:r w:rsidRPr="001E4054">
        <w:rPr>
          <w:rFonts w:ascii="Arial" w:eastAsia="Times New Roman" w:hAnsi="Arial" w:cs="Arial"/>
          <w:color w:val="000000"/>
          <w:sz w:val="24"/>
          <w:szCs w:val="24"/>
          <w:lang w:eastAsia="pt-BR"/>
        </w:rPr>
        <w:t xml:space="preserve"> (NR)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13" w:anchor="art26a" w:history="1">
        <w:r w:rsidRPr="001E4054">
          <w:rPr>
            <w:rFonts w:ascii="Arial" w:eastAsia="Times New Roman" w:hAnsi="Arial" w:cs="Arial"/>
            <w:color w:val="0000FF"/>
            <w:sz w:val="24"/>
            <w:szCs w:val="24"/>
            <w:u w:val="single"/>
            <w:lang w:eastAsia="pt-BR"/>
          </w:rPr>
          <w:t>“Art. 26-A.</w:t>
        </w:r>
      </w:hyperlink>
      <w:r w:rsidRPr="001E4054">
        <w:rPr>
          <w:rFonts w:ascii="Arial" w:eastAsia="Times New Roman" w:hAnsi="Arial" w:cs="Arial"/>
          <w:color w:val="000000"/>
          <w:sz w:val="24"/>
          <w:szCs w:val="24"/>
          <w:lang w:eastAsia="pt-BR"/>
        </w:rPr>
        <w:t>  Afastada pelo órgão competente a inelegibilidade prevista nesta Lei Complementar, aplicar-se-á, quanto ao registro de candidatura, o disposto na lei que estabelece normas para as eleições.”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14" w:anchor="art26b" w:history="1">
        <w:r w:rsidRPr="001E4054">
          <w:rPr>
            <w:rFonts w:ascii="Arial" w:eastAsia="Times New Roman" w:hAnsi="Arial" w:cs="Arial"/>
            <w:color w:val="0000FF"/>
            <w:sz w:val="24"/>
            <w:szCs w:val="24"/>
            <w:u w:val="single"/>
            <w:lang w:eastAsia="pt-BR"/>
          </w:rPr>
          <w:t>“Art. 26-B.</w:t>
        </w:r>
      </w:hyperlink>
      <w:r w:rsidRPr="001E4054">
        <w:rPr>
          <w:rFonts w:ascii="Arial" w:eastAsia="Times New Roman" w:hAnsi="Arial" w:cs="Arial"/>
          <w:color w:val="000000"/>
          <w:sz w:val="24"/>
          <w:szCs w:val="24"/>
          <w:lang w:eastAsia="pt-BR"/>
        </w:rPr>
        <w:t xml:space="preserve">  O Ministério Público e a Justiça Eleitoral darão prioridade, sobre quaisquer outros, aos processos de desvio ou abuso do poder econômico ou do poder de autoridade até que sejam julgados, ressalvados os de </w:t>
      </w:r>
      <w:r w:rsidRPr="001E4054">
        <w:rPr>
          <w:rFonts w:ascii="Arial" w:eastAsia="Times New Roman" w:hAnsi="Arial" w:cs="Arial"/>
          <w:b/>
          <w:bCs/>
          <w:color w:val="000000"/>
          <w:sz w:val="24"/>
          <w:szCs w:val="24"/>
          <w:lang w:eastAsia="pt-BR"/>
        </w:rPr>
        <w:t>habeas corpus</w:t>
      </w:r>
      <w:r w:rsidRPr="001E4054">
        <w:rPr>
          <w:rFonts w:ascii="Arial" w:eastAsia="Times New Roman" w:hAnsi="Arial" w:cs="Arial"/>
          <w:i/>
          <w:iCs/>
          <w:color w:val="000000"/>
          <w:sz w:val="24"/>
          <w:szCs w:val="24"/>
          <w:lang w:eastAsia="pt-BR"/>
        </w:rPr>
        <w:t xml:space="preserve"> </w:t>
      </w:r>
      <w:r w:rsidRPr="001E4054">
        <w:rPr>
          <w:rFonts w:ascii="Arial" w:eastAsia="Times New Roman" w:hAnsi="Arial" w:cs="Arial"/>
          <w:color w:val="000000"/>
          <w:sz w:val="24"/>
          <w:szCs w:val="24"/>
          <w:lang w:eastAsia="pt-BR"/>
        </w:rPr>
        <w:t>e mandado de segurança.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lastRenderedPageBreak/>
        <w:t>§ 1</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É defeso às autoridades mencionadas neste artigo deixar de cumprir qualquer prazo previsto nesta Lei Complementar sob alegação de acúmulo de serviço no exercício das funções regulares.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2</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Além das polícias judiciárias, os órgãos da receita federal, estadual e municipal, os tribunais e órgãos de contas, o Banco Central do Brasil e o Conselho de Controle de Atividade Financeira auxiliarão a Justiça Eleitoral e o Ministério Público Eleitoral na apuração dos delitos eleitorais, com prioridade sobre as suas atribuições regulares.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3</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O Conselho Nacional de Justiça, o Conselho Nacional do Ministério Público e as Corregedorias Eleitorais manterão acompanhamento dos relatórios mensais de atividades fornecidos pelas unidades da Justiça Eleitoral a fim de verificar eventuais descumprimentos injustificados de prazos, promovendo, quando for o caso, a devida responsabilização.</w:t>
      </w:r>
      <w:proofErr w:type="gramStart"/>
      <w:r w:rsidRPr="001E4054">
        <w:rPr>
          <w:rFonts w:ascii="Arial" w:eastAsia="Times New Roman" w:hAnsi="Arial" w:cs="Arial"/>
          <w:color w:val="000000"/>
          <w:sz w:val="24"/>
          <w:szCs w:val="24"/>
          <w:lang w:eastAsia="pt-BR"/>
        </w:rPr>
        <w:t>” </w:t>
      </w:r>
      <w:proofErr w:type="gramEnd"/>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hyperlink r:id="rId15" w:anchor="art26c" w:history="1">
        <w:r w:rsidRPr="001E4054">
          <w:rPr>
            <w:rFonts w:ascii="Arial" w:eastAsia="Times New Roman" w:hAnsi="Arial" w:cs="Arial"/>
            <w:color w:val="0000FF"/>
            <w:sz w:val="24"/>
            <w:szCs w:val="24"/>
            <w:u w:val="single"/>
            <w:lang w:eastAsia="pt-BR"/>
          </w:rPr>
          <w:t>“Art. 26-C.</w:t>
        </w:r>
      </w:hyperlink>
      <w:r w:rsidRPr="001E4054">
        <w:rPr>
          <w:rFonts w:ascii="Arial" w:eastAsia="Times New Roman" w:hAnsi="Arial" w:cs="Arial"/>
          <w:color w:val="000000"/>
          <w:sz w:val="24"/>
          <w:szCs w:val="24"/>
          <w:lang w:eastAsia="pt-BR"/>
        </w:rPr>
        <w:t xml:space="preserve">  O órgão colegiado do tribunal ao qual couber a apreciação do recurso contra as decisões colegiadas a que se referem </w:t>
      </w:r>
      <w:proofErr w:type="gramStart"/>
      <w:r w:rsidRPr="001E4054">
        <w:rPr>
          <w:rFonts w:ascii="Arial" w:eastAsia="Times New Roman" w:hAnsi="Arial" w:cs="Arial"/>
          <w:color w:val="000000"/>
          <w:sz w:val="24"/>
          <w:szCs w:val="24"/>
          <w:lang w:eastAsia="pt-BR"/>
        </w:rPr>
        <w:t>as</w:t>
      </w:r>
      <w:proofErr w:type="gramEnd"/>
      <w:r w:rsidRPr="001E4054">
        <w:rPr>
          <w:rFonts w:ascii="Arial" w:eastAsia="Times New Roman" w:hAnsi="Arial" w:cs="Arial"/>
          <w:color w:val="000000"/>
          <w:sz w:val="24"/>
          <w:szCs w:val="24"/>
          <w:lang w:eastAsia="pt-BR"/>
        </w:rPr>
        <w:t xml:space="preserve"> alíneas </w:t>
      </w:r>
      <w:r w:rsidRPr="001E4054">
        <w:rPr>
          <w:rFonts w:ascii="Arial" w:eastAsia="Times New Roman" w:hAnsi="Arial" w:cs="Arial"/>
          <w:i/>
          <w:iCs/>
          <w:color w:val="000000"/>
          <w:sz w:val="24"/>
          <w:szCs w:val="24"/>
          <w:lang w:eastAsia="pt-BR"/>
        </w:rPr>
        <w:t xml:space="preserve">d, e, h, j, l </w:t>
      </w:r>
      <w:r w:rsidRPr="001E4054">
        <w:rPr>
          <w:rFonts w:ascii="Arial" w:eastAsia="Times New Roman" w:hAnsi="Arial" w:cs="Arial"/>
          <w:color w:val="000000"/>
          <w:sz w:val="24"/>
          <w:szCs w:val="24"/>
          <w:lang w:eastAsia="pt-BR"/>
        </w:rPr>
        <w:t>e</w:t>
      </w:r>
      <w:r w:rsidRPr="001E4054">
        <w:rPr>
          <w:rFonts w:ascii="Arial" w:eastAsia="Times New Roman" w:hAnsi="Arial" w:cs="Arial"/>
          <w:i/>
          <w:iCs/>
          <w:color w:val="000000"/>
          <w:sz w:val="24"/>
          <w:szCs w:val="24"/>
          <w:lang w:eastAsia="pt-BR"/>
        </w:rPr>
        <w:t xml:space="preserve"> n</w:t>
      </w:r>
      <w:r w:rsidRPr="001E4054">
        <w:rPr>
          <w:rFonts w:ascii="Arial" w:eastAsia="Times New Roman" w:hAnsi="Arial" w:cs="Arial"/>
          <w:color w:val="000000"/>
          <w:sz w:val="24"/>
          <w:szCs w:val="24"/>
          <w:lang w:eastAsia="pt-BR"/>
        </w:rPr>
        <w:t xml:space="preserve"> do inciso I do art. 1</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poderá, em caráter cautelar, suspender a inelegibilidade sempre que existir plausibilidade da pretensão recursal e desde que a providência tenha sido expressamente requerida, sob pena de preclusão, por ocasião da interposição do recurso.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1</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Conferido efeito suspensivo, o julgamento do recurso terá prioridade sobre todos os demais, à exceção dos de mandado de segurança e de </w:t>
      </w:r>
      <w:r w:rsidRPr="001E4054">
        <w:rPr>
          <w:rFonts w:ascii="Arial" w:eastAsia="Times New Roman" w:hAnsi="Arial" w:cs="Arial"/>
          <w:b/>
          <w:bCs/>
          <w:color w:val="000000"/>
          <w:sz w:val="24"/>
          <w:szCs w:val="24"/>
          <w:lang w:eastAsia="pt-BR"/>
        </w:rPr>
        <w:t>habeas corpus</w:t>
      </w:r>
      <w:r w:rsidRPr="001E4054">
        <w:rPr>
          <w:rFonts w:ascii="Arial" w:eastAsia="Times New Roman" w:hAnsi="Arial" w:cs="Arial"/>
          <w:color w:val="000000"/>
          <w:sz w:val="24"/>
          <w:szCs w:val="24"/>
          <w:lang w:eastAsia="pt-BR"/>
        </w:rPr>
        <w:t>.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2</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Mantida a condenação de que derivou a inelegibilidade ou revogada a suspensão liminar mencionada no </w:t>
      </w:r>
      <w:r w:rsidRPr="001E4054">
        <w:rPr>
          <w:rFonts w:ascii="Arial" w:eastAsia="Times New Roman" w:hAnsi="Arial" w:cs="Arial"/>
          <w:b/>
          <w:bCs/>
          <w:color w:val="000000"/>
          <w:sz w:val="24"/>
          <w:szCs w:val="24"/>
          <w:lang w:eastAsia="pt-BR"/>
        </w:rPr>
        <w:t>caput</w:t>
      </w:r>
      <w:r w:rsidRPr="001E4054">
        <w:rPr>
          <w:rFonts w:ascii="Arial" w:eastAsia="Times New Roman" w:hAnsi="Arial" w:cs="Arial"/>
          <w:color w:val="000000"/>
          <w:sz w:val="24"/>
          <w:szCs w:val="24"/>
          <w:lang w:eastAsia="pt-BR"/>
        </w:rPr>
        <w:t xml:space="preserve">, serão desconstituídos o registro ou o diploma </w:t>
      </w:r>
      <w:proofErr w:type="gramStart"/>
      <w:r w:rsidRPr="001E4054">
        <w:rPr>
          <w:rFonts w:ascii="Arial" w:eastAsia="Times New Roman" w:hAnsi="Arial" w:cs="Arial"/>
          <w:color w:val="000000"/>
          <w:sz w:val="24"/>
          <w:szCs w:val="24"/>
          <w:lang w:eastAsia="pt-BR"/>
        </w:rPr>
        <w:t>eventualmente concedidos ao recorrente</w:t>
      </w:r>
      <w:proofErr w:type="gramEnd"/>
      <w:r w:rsidRPr="001E4054">
        <w:rPr>
          <w:rFonts w:ascii="Arial" w:eastAsia="Times New Roman" w:hAnsi="Arial" w:cs="Arial"/>
          <w:color w:val="000000"/>
          <w:sz w:val="24"/>
          <w:szCs w:val="24"/>
          <w:lang w:eastAsia="pt-BR"/>
        </w:rPr>
        <w:t>. </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 3</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A prática de atos manifestamente protelatórios por parte da defesa, ao longo da tramitação do recurso, acarretará a revogação do efeito suspensivo.</w:t>
      </w:r>
      <w:proofErr w:type="gramStart"/>
      <w:r w:rsidRPr="001E4054">
        <w:rPr>
          <w:rFonts w:ascii="Arial" w:eastAsia="Times New Roman" w:hAnsi="Arial" w:cs="Arial"/>
          <w:color w:val="000000"/>
          <w:sz w:val="24"/>
          <w:szCs w:val="24"/>
          <w:lang w:eastAsia="pt-BR"/>
        </w:rPr>
        <w:t>” </w:t>
      </w:r>
      <w:proofErr w:type="gramEnd"/>
    </w:p>
    <w:p w:rsidR="001E4054" w:rsidRPr="001E4054" w:rsidRDefault="001E4054" w:rsidP="001E4054">
      <w:pPr>
        <w:spacing w:before="300" w:after="300" w:line="240" w:lineRule="auto"/>
        <w:ind w:firstLine="600"/>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Art. 3</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Os recursos interpostos antes da vigência desta Lei Complementar poderão ser aditados para o fim a que se refere o </w:t>
      </w:r>
      <w:r w:rsidRPr="001E4054">
        <w:rPr>
          <w:rFonts w:ascii="Arial" w:eastAsia="Times New Roman" w:hAnsi="Arial" w:cs="Arial"/>
          <w:b/>
          <w:bCs/>
          <w:color w:val="000000"/>
          <w:sz w:val="24"/>
          <w:szCs w:val="24"/>
          <w:lang w:eastAsia="pt-BR"/>
        </w:rPr>
        <w:t>caput</w:t>
      </w:r>
      <w:r w:rsidRPr="001E4054">
        <w:rPr>
          <w:rFonts w:ascii="Arial" w:eastAsia="Times New Roman" w:hAnsi="Arial" w:cs="Arial"/>
          <w:color w:val="000000"/>
          <w:sz w:val="24"/>
          <w:szCs w:val="24"/>
          <w:lang w:eastAsia="pt-BR"/>
        </w:rPr>
        <w:t xml:space="preserve"> do </w:t>
      </w:r>
      <w:hyperlink r:id="rId16" w:anchor="art26c" w:history="1">
        <w:r w:rsidRPr="001E4054">
          <w:rPr>
            <w:rFonts w:ascii="Arial" w:eastAsia="Times New Roman" w:hAnsi="Arial" w:cs="Arial"/>
            <w:color w:val="0000FF"/>
            <w:sz w:val="24"/>
            <w:szCs w:val="24"/>
            <w:u w:val="single"/>
            <w:lang w:eastAsia="pt-BR"/>
          </w:rPr>
          <w:t>art. 26-C da Lei Complementar nº 64, de 18 de maio de 1990</w:t>
        </w:r>
      </w:hyperlink>
      <w:r w:rsidRPr="001E4054">
        <w:rPr>
          <w:rFonts w:ascii="Arial" w:eastAsia="Times New Roman" w:hAnsi="Arial" w:cs="Arial"/>
          <w:color w:val="000000"/>
          <w:sz w:val="24"/>
          <w:szCs w:val="24"/>
          <w:lang w:eastAsia="pt-BR"/>
        </w:rPr>
        <w:t>, introduzido por esta Lei Complementar. </w:t>
      </w:r>
    </w:p>
    <w:p w:rsidR="001E4054" w:rsidRPr="001E4054" w:rsidRDefault="001E4054" w:rsidP="001E4054">
      <w:pPr>
        <w:spacing w:before="300" w:after="300" w:line="240" w:lineRule="auto"/>
        <w:ind w:firstLine="600"/>
        <w:rPr>
          <w:rFonts w:ascii="Times New Roman" w:eastAsia="Times New Roman" w:hAnsi="Times New Roman" w:cs="Times New Roman"/>
          <w:sz w:val="24"/>
          <w:szCs w:val="24"/>
          <w:lang w:eastAsia="pt-BR"/>
        </w:rPr>
      </w:pPr>
      <w:bookmarkStart w:id="1" w:name="art4"/>
      <w:bookmarkEnd w:id="1"/>
      <w:r w:rsidRPr="001E4054">
        <w:rPr>
          <w:rFonts w:ascii="Arial" w:eastAsia="Times New Roman" w:hAnsi="Arial" w:cs="Arial"/>
          <w:color w:val="000000"/>
          <w:sz w:val="24"/>
          <w:szCs w:val="24"/>
          <w:lang w:eastAsia="pt-BR"/>
        </w:rPr>
        <w:t>Art. 4</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Revoga-se o </w:t>
      </w:r>
      <w:hyperlink r:id="rId17" w:anchor="art22xv" w:history="1">
        <w:r w:rsidRPr="001E4054">
          <w:rPr>
            <w:rFonts w:ascii="Arial" w:eastAsia="Times New Roman" w:hAnsi="Arial" w:cs="Arial"/>
            <w:color w:val="0000FF"/>
            <w:sz w:val="24"/>
            <w:szCs w:val="24"/>
            <w:u w:val="single"/>
            <w:lang w:eastAsia="pt-BR"/>
          </w:rPr>
          <w:t>inciso XV do art. 22 da Lei Complementar nº 64, de 18 de maio de 1990. </w:t>
        </w:r>
      </w:hyperlink>
    </w:p>
    <w:p w:rsidR="001E4054" w:rsidRPr="001E4054" w:rsidRDefault="001E4054" w:rsidP="001E4054">
      <w:pPr>
        <w:spacing w:before="300" w:after="300" w:line="240" w:lineRule="auto"/>
        <w:ind w:firstLine="567"/>
        <w:jc w:val="both"/>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Art. 5</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Esta Lei Complementar entra em vigor na data da sua publicação. </w:t>
      </w:r>
    </w:p>
    <w:p w:rsidR="001E4054" w:rsidRPr="001E4054" w:rsidRDefault="001E4054" w:rsidP="001E4054">
      <w:pPr>
        <w:spacing w:before="300" w:after="300" w:line="240" w:lineRule="auto"/>
        <w:ind w:firstLine="567"/>
        <w:jc w:val="both"/>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Brasília,  4  de  junho  de 2010; 189</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da Independência e 122</w:t>
      </w:r>
      <w:r w:rsidRPr="001E4054">
        <w:rPr>
          <w:rFonts w:ascii="Arial" w:eastAsia="Times New Roman" w:hAnsi="Arial" w:cs="Arial"/>
          <w:color w:val="000000"/>
          <w:sz w:val="24"/>
          <w:szCs w:val="24"/>
          <w:u w:val="single"/>
          <w:vertAlign w:val="superscript"/>
          <w:lang w:eastAsia="pt-BR"/>
        </w:rPr>
        <w:t>o</w:t>
      </w:r>
      <w:r w:rsidRPr="001E4054">
        <w:rPr>
          <w:rFonts w:ascii="Arial" w:eastAsia="Times New Roman" w:hAnsi="Arial" w:cs="Arial"/>
          <w:color w:val="000000"/>
          <w:sz w:val="24"/>
          <w:szCs w:val="24"/>
          <w:lang w:eastAsia="pt-BR"/>
        </w:rPr>
        <w:t xml:space="preserve"> da República. </w:t>
      </w:r>
    </w:p>
    <w:p w:rsidR="001E4054" w:rsidRPr="001E4054" w:rsidRDefault="001E4054" w:rsidP="001E405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E4054">
        <w:rPr>
          <w:rFonts w:ascii="Arial" w:eastAsia="Times New Roman" w:hAnsi="Arial" w:cs="Arial"/>
          <w:color w:val="000000"/>
          <w:sz w:val="24"/>
          <w:szCs w:val="24"/>
          <w:lang w:eastAsia="pt-BR"/>
        </w:rPr>
        <w:t>LUIZ INÁCIO LULA DA SILVA</w:t>
      </w:r>
      <w:r w:rsidRPr="001E4054">
        <w:rPr>
          <w:rFonts w:ascii="Arial" w:eastAsia="Times New Roman" w:hAnsi="Arial" w:cs="Arial"/>
          <w:color w:val="000000"/>
          <w:sz w:val="24"/>
          <w:szCs w:val="24"/>
          <w:lang w:eastAsia="pt-BR"/>
        </w:rPr>
        <w:br/>
      </w:r>
      <w:r w:rsidRPr="001E4054">
        <w:rPr>
          <w:rFonts w:ascii="Arial" w:eastAsia="Times New Roman" w:hAnsi="Arial" w:cs="Arial"/>
          <w:i/>
          <w:iCs/>
          <w:color w:val="000000"/>
          <w:sz w:val="24"/>
          <w:szCs w:val="24"/>
          <w:lang w:eastAsia="pt-BR"/>
        </w:rPr>
        <w:t>Luiz Paulo Teles Ferreira Barreto</w:t>
      </w:r>
      <w:r w:rsidRPr="001E4054">
        <w:rPr>
          <w:rFonts w:ascii="Arial" w:eastAsia="Times New Roman" w:hAnsi="Arial" w:cs="Arial"/>
          <w:i/>
          <w:iCs/>
          <w:color w:val="000000"/>
          <w:sz w:val="24"/>
          <w:szCs w:val="24"/>
          <w:lang w:eastAsia="pt-BR"/>
        </w:rPr>
        <w:br/>
        <w:t>Luis Inácio Lucena Adams</w:t>
      </w:r>
    </w:p>
    <w:p w:rsidR="001E4054" w:rsidRPr="001E4054" w:rsidRDefault="001E4054" w:rsidP="001E4054">
      <w:pPr>
        <w:spacing w:before="100" w:beforeAutospacing="1" w:after="100" w:afterAutospacing="1" w:line="240" w:lineRule="auto"/>
        <w:rPr>
          <w:rFonts w:ascii="Times New Roman" w:eastAsia="Times New Roman" w:hAnsi="Times New Roman" w:cs="Times New Roman"/>
          <w:sz w:val="24"/>
          <w:szCs w:val="24"/>
          <w:lang w:eastAsia="pt-BR"/>
        </w:rPr>
      </w:pPr>
      <w:r w:rsidRPr="001E4054">
        <w:rPr>
          <w:rFonts w:ascii="Arial" w:eastAsia="Times New Roman" w:hAnsi="Arial" w:cs="Arial"/>
          <w:color w:val="FF0000"/>
          <w:sz w:val="20"/>
          <w:szCs w:val="20"/>
          <w:lang w:eastAsia="pt-BR"/>
        </w:rPr>
        <w:lastRenderedPageBreak/>
        <w:t xml:space="preserve">Este texto não substitui o publicado no DOU de 7.6.2010 </w:t>
      </w:r>
    </w:p>
    <w:p w:rsidR="006947AB" w:rsidRDefault="001E4054"/>
    <w:sectPr w:rsidR="006947AB" w:rsidSect="00B14E9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4054"/>
    <w:rsid w:val="00123FE4"/>
    <w:rsid w:val="001E4054"/>
    <w:rsid w:val="00B14E90"/>
    <w:rsid w:val="00CE04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E9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E40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E4054"/>
    <w:rPr>
      <w:b/>
      <w:bCs/>
    </w:rPr>
  </w:style>
  <w:style w:type="character" w:styleId="Hyperlink">
    <w:name w:val="Hyperlink"/>
    <w:basedOn w:val="Fontepargpadro"/>
    <w:uiPriority w:val="99"/>
    <w:semiHidden/>
    <w:unhideWhenUsed/>
    <w:rsid w:val="001E4054"/>
    <w:rPr>
      <w:color w:val="0000FF"/>
      <w:u w:val="single"/>
    </w:rPr>
  </w:style>
  <w:style w:type="paragraph" w:styleId="Recuodecorpodetexto">
    <w:name w:val="Body Text Indent"/>
    <w:basedOn w:val="Normal"/>
    <w:link w:val="RecuodecorpodetextoChar"/>
    <w:uiPriority w:val="99"/>
    <w:unhideWhenUsed/>
    <w:rsid w:val="001E40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1E4054"/>
    <w:rPr>
      <w:rFonts w:ascii="Times New Roman" w:eastAsia="Times New Roman" w:hAnsi="Times New Roman" w:cs="Times New Roman"/>
      <w:sz w:val="24"/>
      <w:szCs w:val="24"/>
      <w:lang w:eastAsia="pt-BR"/>
    </w:rPr>
  </w:style>
  <w:style w:type="paragraph" w:customStyle="1" w:styleId="artigo">
    <w:name w:val="artigo"/>
    <w:basedOn w:val="Normal"/>
    <w:rsid w:val="001E40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1E40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01char">
    <w:name w:val="01char"/>
    <w:basedOn w:val="Fontepargpadro"/>
    <w:rsid w:val="001E4054"/>
  </w:style>
  <w:style w:type="paragraph" w:styleId="Textodebalo">
    <w:name w:val="Balloon Text"/>
    <w:basedOn w:val="Normal"/>
    <w:link w:val="TextodebaloChar"/>
    <w:uiPriority w:val="99"/>
    <w:semiHidden/>
    <w:unhideWhenUsed/>
    <w:rsid w:val="001E40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4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736601">
      <w:bodyDiv w:val="1"/>
      <w:marLeft w:val="0"/>
      <w:marRight w:val="0"/>
      <w:marTop w:val="0"/>
      <w:marBottom w:val="0"/>
      <w:divBdr>
        <w:top w:val="none" w:sz="0" w:space="0" w:color="auto"/>
        <w:left w:val="none" w:sz="0" w:space="0" w:color="auto"/>
        <w:bottom w:val="none" w:sz="0" w:space="0" w:color="auto"/>
        <w:right w:val="none" w:sz="0" w:space="0" w:color="auto"/>
      </w:divBdr>
      <w:divsChild>
        <w:div w:id="114027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078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64.htm" TargetMode="External"/><Relationship Id="rId13" Type="http://schemas.openxmlformats.org/officeDocument/2006/relationships/hyperlink" Target="http://www.planalto.gov.br/ccivil_03/LEIS/LCP/Lcp64.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LEIS/LCP/Lcp64.htm" TargetMode="External"/><Relationship Id="rId12" Type="http://schemas.openxmlformats.org/officeDocument/2006/relationships/hyperlink" Target="http://www.planalto.gov.br/ccivil_03/LEIS/LCP/Lcp64.htm" TargetMode="External"/><Relationship Id="rId17" Type="http://schemas.openxmlformats.org/officeDocument/2006/relationships/hyperlink" Target="http://www.planalto.gov.br/ccivil_03/LEIS/LCP/Lcp64.htm" TargetMode="External"/><Relationship Id="rId2" Type="http://schemas.openxmlformats.org/officeDocument/2006/relationships/settings" Target="settings.xml"/><Relationship Id="rId16" Type="http://schemas.openxmlformats.org/officeDocument/2006/relationships/hyperlink" Target="http://www.planalto.gov.br/ccivil_03/LEIS/LCP/Lcp64.htm" TargetMode="External"/><Relationship Id="rId1" Type="http://schemas.openxmlformats.org/officeDocument/2006/relationships/styles" Target="styles.xml"/><Relationship Id="rId6" Type="http://schemas.openxmlformats.org/officeDocument/2006/relationships/hyperlink" Target="http://www.planalto.gov.br/ccivil_03/LEIS/LCP/Lcp64.htm" TargetMode="External"/><Relationship Id="rId11" Type="http://schemas.openxmlformats.org/officeDocument/2006/relationships/hyperlink" Target="http://www.planalto.gov.br/ccivil_03/LEIS/LCP/Lcp64.htm" TargetMode="External"/><Relationship Id="rId5" Type="http://schemas.openxmlformats.org/officeDocument/2006/relationships/hyperlink" Target="http://legislacao.planalto.gov.br/legisla/legislacao.nsf/Viw_Identificacao/lcp%20135-2010?OpenDocument" TargetMode="External"/><Relationship Id="rId15" Type="http://schemas.openxmlformats.org/officeDocument/2006/relationships/hyperlink" Target="http://www.planalto.gov.br/ccivil_03/LEIS/LCP/Lcp64.htm" TargetMode="External"/><Relationship Id="rId10" Type="http://schemas.openxmlformats.org/officeDocument/2006/relationships/hyperlink" Target="http://www.planalto.gov.br/ccivil_03/LEIS/LCP/Lcp64.htm" TargetMode="External"/><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www.planalto.gov.br/ccivil_03/LEIS/LCP/Lcp64.htm" TargetMode="External"/><Relationship Id="rId14" Type="http://schemas.openxmlformats.org/officeDocument/2006/relationships/hyperlink" Target="http://www.planalto.gov.br/ccivil_03/LEIS/LCP/Lcp6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2080</Words>
  <Characters>11235</Characters>
  <Application>Microsoft Office Word</Application>
  <DocSecurity>0</DocSecurity>
  <Lines>93</Lines>
  <Paragraphs>26</Paragraphs>
  <ScaleCrop>false</ScaleCrop>
  <Company>UNIFACS</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cp:revision>
  <dcterms:created xsi:type="dcterms:W3CDTF">2010-06-21T14:31:00Z</dcterms:created>
  <dcterms:modified xsi:type="dcterms:W3CDTF">2010-06-21T14:32:00Z</dcterms:modified>
</cp:coreProperties>
</file>