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953"/>
      </w:tblGrid>
      <w:tr w:rsidR="00C17E89" w:rsidRPr="00C17E89" w:rsidTr="00C17E89">
        <w:trPr>
          <w:tblCellSpacing w:w="0" w:type="dxa"/>
          <w:jc w:val="center"/>
        </w:trPr>
        <w:tc>
          <w:tcPr>
            <w:tcW w:w="4300" w:type="pct"/>
            <w:vAlign w:val="center"/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1_-_INSTRUÇÃO_NORMATIVA_Nº_85,_DE_2"/>
            <w:bookmarkEnd w:id="0"/>
            <w:r w:rsidRPr="00C17E89">
              <w:rPr>
                <w:rFonts w:ascii="Arial" w:eastAsia="Times New Roman" w:hAnsi="Arial" w:cs="Arial"/>
                <w:b/>
                <w:bCs/>
                <w:color w:val="808000"/>
                <w:sz w:val="36"/>
                <w:lang w:eastAsia="pt-BR"/>
              </w:rPr>
              <w:t>Presidência da República</w:t>
            </w:r>
            <w:r w:rsidRPr="00C17E89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br/>
            </w:r>
            <w:r w:rsidRPr="00C17E89">
              <w:rPr>
                <w:rFonts w:ascii="Arial" w:eastAsia="Times New Roman" w:hAnsi="Arial" w:cs="Arial"/>
                <w:b/>
                <w:bCs/>
                <w:color w:val="808000"/>
                <w:sz w:val="27"/>
                <w:lang w:eastAsia="pt-BR"/>
              </w:rPr>
              <w:t>Casa Civil</w:t>
            </w:r>
            <w:r w:rsidRPr="00C17E89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br/>
            </w:r>
            <w:r w:rsidRPr="00C17E89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t>Subchefia para Assuntos Jurídicos</w:t>
            </w:r>
          </w:p>
        </w:tc>
      </w:tr>
    </w:tbl>
    <w:p w:rsidR="00C17E89" w:rsidRPr="00C17E89" w:rsidRDefault="00C17E89" w:rsidP="00C17E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hyperlink r:id="rId4" w:history="1">
        <w:r w:rsidRPr="00C17E89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pt-BR"/>
          </w:rPr>
          <w:t>DECRETO Nº 7.243, DE 26 DE JULHO DE 2010.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167"/>
        <w:gridCol w:w="4337"/>
      </w:tblGrid>
      <w:tr w:rsidR="00C17E89" w:rsidRPr="00C17E89" w:rsidTr="00C17E89">
        <w:trPr>
          <w:trHeight w:val="285"/>
          <w:tblCellSpacing w:w="0" w:type="dxa"/>
        </w:trPr>
        <w:tc>
          <w:tcPr>
            <w:tcW w:w="2450" w:type="pct"/>
            <w:vAlign w:val="center"/>
            <w:hideMark/>
          </w:tcPr>
          <w:p w:rsidR="00C17E89" w:rsidRPr="00C17E89" w:rsidRDefault="00C17E89" w:rsidP="00C1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50" w:type="pct"/>
            <w:vAlign w:val="center"/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Regulamenta o Programa Um Computador por Aluno - PROUCA e o Regime Especial de Aquisição de Computadores para uso Educacional - RECOMPE.</w:t>
            </w:r>
          </w:p>
        </w:tc>
      </w:tr>
    </w:tbl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PRESIDENTE DA REPÚBLICA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 uso das atribuições que lhe confere o art. 84, inciso IV, da Constituição, e tendo em vista o disposto nos </w:t>
      </w:r>
      <w:proofErr w:type="spell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arts</w:t>
      </w:r>
      <w:proofErr w:type="spell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6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14 da Lei n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12.249, de 11 de junho de 2010, no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 nos §§ 1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 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 art. 9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Lei n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4.502, de 30 de novembro de 1964, e no art. 22 da Lei n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11.945, de 4 de junho de 2009, </w:t>
      </w:r>
    </w:p>
    <w:p w:rsidR="00C17E89" w:rsidRPr="00C17E89" w:rsidRDefault="00C17E89" w:rsidP="00C17E89">
      <w:pPr>
        <w:keepNext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DECRETA: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1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Este Decreto regulamenta o Programa Um Computador por Aluno - PROUCA e o Regime Especial de Aquisição de Computadores para uso Educacional - RECOMPE.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 1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O PROUCA tem o objetivo de promover a inclusão digital nas escolas das redes públicas de ensino federal, estadual, distrital, municipal ou nas escolas sem fins lucrativos de atendimento a pessoas com deficiência, mediante a aquisição e a utilização de soluções de informática, constituídas de equipamentos de informática, de programas de computador (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software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neles instalados e de suporte e assistência técnica necessários ao seu funcionamento.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 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A aquisição a que se refere 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será realizada por meio de licitação pública, observados termos e legislação vigentes.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Os equipamentos de informática de que trata o § 1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 art. 1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são os computadores portáteis classificados nos códigos 8471.30.12 e 8471.30.19 da Nomenclatura Comum do </w:t>
      </w:r>
      <w:proofErr w:type="spell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Mercosul</w:t>
      </w:r>
      <w:proofErr w:type="spell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(NCM).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 1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Ato conjunto dos Ministros de Estado da Educação e da Fazenda estabelecerá definições, especificações e características técnicas mínimas dos equipamentos referidos no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podendo, inclusive, determinar os valores mínimos e máximos alcançados pelo PROUCA.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 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Os equipamentos mencionados no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destinam-se ao uso educacional por alunos e professores das escolas das redes públicas de ensino federal, estadual, distrital, municipal ou das escolas sem fins lucrativos de atendimento a pessoas com deficiência, exclusivamente como instrumento de aprendizagem.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 3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Para efeito de inclusão no RECOMPE, terão prioridade as Soluções de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Software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Livre e de Código Aberto e sem custos de licenças, conforme as diretrizes das políticas educacionais do Ministério da Educação. 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Art. 3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O Processo Produtivo Básico - PPB específico que define etapas mínimas e condicionantes de fabricação dos equipamentos de que trata o art. 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é o constante do Anexo.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único.  O PPB poderá ser alterado pelos Ministros de Estado do Desenvolvimento, Indústria e Comércio Exterior e da Ciência e Tecnologia, por meio de portaria interministerial, sempre que fatores técnicos ou econômicos, devidamente comprovados, assim o determinarem.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4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É beneficiária do RECOMPE a pessoa jurídica habilitada que exerça atividade de fabricação dos equipamentos mencionados no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 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art. 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 que seja vencedora do processo de licitação referido no § 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 art. 1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 1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Também será considerada beneficiária do RECOMPE a pessoa jurídica que exerça a atividade de manufatura terceirizada para a vencedora do processo de licitação referido no § 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 art. 1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 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As pessoas jurídicas optantes pelo Regime Especial Unificado de Arrecadação de Tributos e Contribuições devidos pelas Microempresas e Empresas de Pequeno Porte - Simples Nacional, de que trata a </w:t>
      </w:r>
      <w:hyperlink r:id="rId5" w:history="1"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Lei Complementar </w:t>
        </w:r>
        <w:proofErr w:type="gramStart"/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</w:t>
        </w:r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t-BR"/>
          </w:rPr>
          <w:t>o</w:t>
        </w:r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 123</w:t>
        </w:r>
        <w:proofErr w:type="gramEnd"/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, de 14 de dezembro de 2006</w:t>
        </w:r>
      </w:hyperlink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as pessoas jurídicas de que tratam o </w:t>
      </w:r>
      <w:hyperlink r:id="rId6" w:anchor="art8ii" w:history="1"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inciso II do art. 8</w:t>
        </w:r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t-BR"/>
          </w:rPr>
          <w:t>o</w:t>
        </w:r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 da Lei n</w:t>
        </w:r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t-BR"/>
          </w:rPr>
          <w:t>o</w:t>
        </w:r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 10.637, de 30 de dezembro de 2002</w:t>
        </w:r>
      </w:hyperlink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o </w:t>
      </w:r>
      <w:hyperlink r:id="rId7" w:anchor="art10ii" w:history="1"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inciso II do art. 10 da Lei n</w:t>
        </w:r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t-BR"/>
          </w:rPr>
          <w:t>o</w:t>
        </w:r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 10.833, de 29 de dezembro de 2003</w:t>
        </w:r>
      </w:hyperlink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não poderão aderir ao RECOMPE. 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5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O RECOMPE suspende, conforme o caso, a exigência: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 - do Imposto sobre Produtos Industrializados - IPI incidente sobre a saída do estabelecimento industrial de matérias-primas e produtos intermediários destinados à industrialização dos equipamentos mencionados no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 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art. 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quando adquiridos por pessoa jurídica habilitada ao regime;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 - da Contribuição para o PIS/PASEP e da Contribuição para o Financiamento da Seguridade Social - COFINS incidentes sobre a receita decorrente da: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 venda de matérias-primas e produtos intermediários destinados à industrialização dos equipamentos mencionados no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 art. 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quando adquiridos por pessoa jurídica habilitada ao regime; e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</w:t>
      </w:r>
      <w:proofErr w:type="gram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prestação de serviços, por pessoa jurídica estabelecida no País, à pessoa jurídica habilitada ao regime, quando destinados aos equipamentos mencionados no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 art. 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 e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rPr>
          <w:rFonts w:ascii="Arial" w:eastAsia="Times New Roman" w:hAnsi="Arial" w:cs="Arial"/>
          <w:sz w:val="20"/>
          <w:szCs w:val="20"/>
          <w:lang w:eastAsia="pt-BR"/>
        </w:rPr>
      </w:pPr>
      <w:r w:rsidRPr="00C17E89">
        <w:rPr>
          <w:rFonts w:ascii="Arial" w:eastAsia="Times New Roman" w:hAnsi="Arial" w:cs="Arial"/>
          <w:sz w:val="20"/>
          <w:szCs w:val="20"/>
          <w:lang w:eastAsia="pt-BR"/>
        </w:rPr>
        <w:t>III - do IPI, da Contribuição para o PIS/</w:t>
      </w:r>
      <w:proofErr w:type="spellStart"/>
      <w:r w:rsidRPr="00C17E89">
        <w:rPr>
          <w:rFonts w:ascii="Arial" w:eastAsia="Times New Roman" w:hAnsi="Arial" w:cs="Arial"/>
          <w:sz w:val="20"/>
          <w:szCs w:val="20"/>
          <w:lang w:eastAsia="pt-BR"/>
        </w:rPr>
        <w:t>PASEP-Importação</w:t>
      </w:r>
      <w:proofErr w:type="spellEnd"/>
      <w:r w:rsidRPr="00C17E89">
        <w:rPr>
          <w:rFonts w:ascii="Arial" w:eastAsia="Times New Roman" w:hAnsi="Arial" w:cs="Arial"/>
          <w:sz w:val="20"/>
          <w:szCs w:val="20"/>
          <w:lang w:eastAsia="pt-BR"/>
        </w:rPr>
        <w:t xml:space="preserve">, da </w:t>
      </w:r>
      <w:proofErr w:type="spellStart"/>
      <w:r w:rsidRPr="00C17E89">
        <w:rPr>
          <w:rFonts w:ascii="Arial" w:eastAsia="Times New Roman" w:hAnsi="Arial" w:cs="Arial"/>
          <w:sz w:val="20"/>
          <w:szCs w:val="20"/>
          <w:lang w:eastAsia="pt-BR"/>
        </w:rPr>
        <w:t>COFINS-Importação</w:t>
      </w:r>
      <w:proofErr w:type="spellEnd"/>
      <w:r w:rsidRPr="00C17E89">
        <w:rPr>
          <w:rFonts w:ascii="Arial" w:eastAsia="Times New Roman" w:hAnsi="Arial" w:cs="Arial"/>
          <w:sz w:val="20"/>
          <w:szCs w:val="20"/>
          <w:lang w:eastAsia="pt-BR"/>
        </w:rPr>
        <w:t xml:space="preserve">, do Imposto de Importação e da Contribuição de Intervenção no Domínio Econômico destinada a financiar o Programa de Estímulo à Interação Universidade-Empresa para o Apoio à </w:t>
      </w:r>
      <w:proofErr w:type="gramStart"/>
      <w:r w:rsidRPr="00C17E89">
        <w:rPr>
          <w:rFonts w:ascii="Arial" w:eastAsia="Times New Roman" w:hAnsi="Arial" w:cs="Arial"/>
          <w:sz w:val="20"/>
          <w:szCs w:val="20"/>
          <w:lang w:eastAsia="pt-BR"/>
        </w:rPr>
        <w:t>Inovação incidentes</w:t>
      </w:r>
      <w:proofErr w:type="gramEnd"/>
      <w:r w:rsidRPr="00C17E89">
        <w:rPr>
          <w:rFonts w:ascii="Arial" w:eastAsia="Times New Roman" w:hAnsi="Arial" w:cs="Arial"/>
          <w:sz w:val="20"/>
          <w:szCs w:val="20"/>
          <w:lang w:eastAsia="pt-BR"/>
        </w:rPr>
        <w:t xml:space="preserve"> sobre: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17E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>a</w:t>
      </w:r>
      <w:proofErr w:type="gramEnd"/>
      <w:r w:rsidRPr="00C17E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>) matérias-primas e produtos intermediários destinados à industrialização dos equipamentos mencionados no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 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art. 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>, quando importados diretamente por pessoa jurídica habilitada ao regime; e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b)</w:t>
      </w:r>
      <w:proofErr w:type="gram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 pagamento de serviços importados diretamente por pessoa jurídica habilitada ao regime, quando destinados aos equipamentos mencionados no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 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art. 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6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A suspensão de que trata o art. 5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converte-se em alíquota zero após a incorporação ou utilização dos bens ou dos serviços adquiridos ou importados com o regime do RECOMPE nos equipamentos mencionados no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 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art. 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7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Ficam isentos do IPI os equipamentos de informática mencionados no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 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art. 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saídos da pessoa jurídica beneficiária do RECOMPE diretamente para as escolas referidas no § 1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 art. 1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observado o disposto no art. 3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sz w:val="20"/>
          <w:szCs w:val="20"/>
          <w:lang w:eastAsia="pt-BR"/>
        </w:rPr>
      </w:pPr>
      <w:r w:rsidRPr="00C17E89">
        <w:rPr>
          <w:rFonts w:ascii="Arial" w:eastAsia="Times New Roman" w:hAnsi="Arial" w:cs="Arial"/>
          <w:sz w:val="20"/>
          <w:szCs w:val="20"/>
          <w:lang w:eastAsia="pt-BR"/>
        </w:rPr>
        <w:t>Art. 8</w:t>
      </w:r>
      <w:r w:rsidRPr="00C17E89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C17E89">
        <w:rPr>
          <w:rFonts w:ascii="Arial" w:eastAsia="Times New Roman" w:hAnsi="Arial" w:cs="Arial"/>
          <w:sz w:val="20"/>
          <w:szCs w:val="20"/>
          <w:lang w:eastAsia="pt-BR"/>
        </w:rPr>
        <w:t>  As operações de importação efetuadas com os benefícios previstos neste Decreto deverão ter anuência prévia do Ministério da Ciência e Tecnologia.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9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As notas fiscais relativas às operações de venda no mercado interno de bens e serviços com os benefícios previstos no art. 5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deverão: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 - estar acompanhadas de documento emitido pelo Ministério da Ciência e Tecnologia, atestando que a operação é destinada ao PROUCA; e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 - conter a expressão “Venda efetuada com suspensão da exigência do IPI, da Contribuição para o PIS/PASEP e da COFINS”, com a especificação do dispositivo legal correspondente e do número do atestado emitido pelo Ministério da Ciência e Tecnologia.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10.  As notas fiscais relativas às operações de venda no mercado interno de produtos com os benefícios previstos no art. 7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deverão conter a expressão “Venda efetuada com isenção de IPI”, com a especificação do dispositivo legal correspondente e do número do atestado emitido pelo Ministério da Ciência e Tecnologia.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único.  Caso os produtos referidos no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também estejam enquadrados no Programa de Inclusão Digital de que trata o </w:t>
      </w:r>
      <w:hyperlink r:id="rId8" w:history="1"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Decreto n</w:t>
        </w:r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t-BR"/>
          </w:rPr>
          <w:t>o</w:t>
        </w:r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 5.602, de 6 de dezembro de 2005</w:t>
        </w:r>
      </w:hyperlink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as respectivas notas fiscais relativas às operações de venda no mercado interno deverão conter também a expressão “Venda efetuada com alíquota zero da Contribuição para o PIS/PASEP e da COFINS”, com especificação do dispositivo legal correspondente.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11.  Os Ministros de Estado do Desenvolvimento, Indústria e Comércio Exterior e da Ciência e Tecnologia estabelecerão, por meio de portaria interministerial, os procedimentos para a habilitação ao RECOMPE.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único.  A habilitação da pessoa jurídica ao RECOMPE deverá ser aprovada em portaria conjunta dos Ministros de Estado da Ciência e Tecnologia e do Desenvolvimento, Indústria e Comércio Exterior. 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12.  A pessoa jurídica beneficiária do RECOMPE terá a habilitação cancelada: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 - na hipótese de não atender ou deixar de atender ao PPB específico de que trata o art. 3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 - se não atender ou deixar de atender ao requisito da regularidade fiscal, quanto </w:t>
      </w:r>
      <w:r w:rsidRPr="00C17E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>aos tributos e contribuições administrados pela Secretaria da Receita Federal do Brasil;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 - sempre que se apure que o beneficiário deixou de observar a correta destinação dos equipamentos produzidos; ou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 - a pedido.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>Parágrafo único.  Caberá ao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Ministério do Desenvolvimento, Indústria e Comércio Exterior e ao Ministério da Ciência e Tecnologia a verificação do atendimento das condições de que trata 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bem como o cancelamento da habilitação, se for o caso. 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>Art. 13.  Na hipótese de cancelamento da habilitação, a pessoa jurídica beneficiária do RECOMPE fica obrigada a recolher os tributos não pagos em função da suspensão de que trata o art. 5</w:t>
      </w:r>
      <w:r w:rsidRPr="00C17E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> e da isenção de que trata o art. 7</w:t>
      </w:r>
      <w:r w:rsidRPr="00C17E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>, acrescidos de juros e multa de mora ou de ofício, na forma da lei, contados a partir da data de aquisição ou do registro da Declaração de Importação - DI, na condição de:</w:t>
      </w:r>
    </w:p>
    <w:p w:rsidR="00C17E89" w:rsidRPr="00C17E89" w:rsidRDefault="00C17E89" w:rsidP="00C17E89">
      <w:pPr>
        <w:spacing w:before="100" w:beforeAutospacing="1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 - contribuinte, em relação ao IPI incidente no desembaraço aduaneiro, à Contribuição para o PIS/</w:t>
      </w:r>
      <w:proofErr w:type="spell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PASEP-Importação</w:t>
      </w:r>
      <w:proofErr w:type="spell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à </w:t>
      </w:r>
      <w:proofErr w:type="spell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COFINS-Importação</w:t>
      </w:r>
      <w:proofErr w:type="spell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 ou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 - responsável, em relação ao IPI, à Contribuição para o PIS/PASEP, à COFINS e à Contribuição de Intervenção no Domínio Econômico destinada a financiar o Programa de Estímulo à Interação Universidade-Empresa para o Apoio à Inovação.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 14.  A não observância da destinação prevista para os produtos adquiridos com os benefícios de que tratam os </w:t>
      </w:r>
      <w:proofErr w:type="spell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arts</w:t>
      </w:r>
      <w:proofErr w:type="spell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5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 7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sujeitará</w:t>
      </w:r>
      <w:proofErr w:type="gram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responsável ao pagamento dos tributos e contribuições que deixaram de ser recolhidos, como se os benefícios não existissem.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15.  No que se refere à receita de venda dos equipamentos de informática de que trata o </w:t>
      </w:r>
      <w:r w:rsidRPr="00C17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 art. 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para as escolas referidas no § 1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 art. 1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 redução a zero das alíquotas da Contribuição para o PIS/PASEP e da COFINS está condicionada ao atendimento dos requisitos constantes do </w:t>
      </w:r>
      <w:hyperlink r:id="rId9" w:history="1">
        <w:r w:rsidRPr="00C17E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Decreto no 5.602, de 2005.</w:t>
        </w:r>
      </w:hyperlink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 16.  Este Decreto entra em vigor na data de sua publicação.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sz w:val="20"/>
          <w:szCs w:val="20"/>
          <w:lang w:eastAsia="pt-BR"/>
        </w:rPr>
      </w:pPr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Brasília, 26 de julho de 2010; 189</w:t>
      </w:r>
      <w:r w:rsidRPr="00C17E89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da Independência e 122</w:t>
      </w:r>
      <w:r w:rsidRPr="00C17E89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da República.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LUIZ INÁCIO LULA DA SILVA</w:t>
      </w:r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 xml:space="preserve">Guido </w:t>
      </w:r>
      <w:proofErr w:type="spellStart"/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Mantega</w:t>
      </w:r>
      <w:proofErr w:type="spellEnd"/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Fernando Haddad</w:t>
      </w:r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Miguel Jorge </w:t>
      </w:r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Sergio Machado Rezende</w:t>
      </w:r>
    </w:p>
    <w:p w:rsidR="00C17E89" w:rsidRPr="00C17E89" w:rsidRDefault="00C17E89" w:rsidP="00C17E89">
      <w:pPr>
        <w:spacing w:before="303" w:after="303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17E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no DOU de 27.7.2010</w:t>
      </w:r>
    </w:p>
    <w:p w:rsidR="00C17E89" w:rsidRPr="00C17E89" w:rsidRDefault="00C17E89" w:rsidP="00C17E8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ANEXO 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PROCESSO PRODUTIVO BÁSICO - PPB PARA MÁQUINA AUTOMÁTICA PARA PROCESSAMENTO DE DADOS DIGITAL PORTÁTIL,</w:t>
      </w:r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 DESTINADA À UTILIZAÇÃO DO PROGRAMA “UM COMPUTADOR POR ALUNO - PROUCA” 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Processo Produtivo Básico - PPB para o produto MÁQUINA AUTOMÁTICA PARA PROCESSAMENTO DE DADOS DIGITAL, PORTÁTIL (NCM: 8471.30.12 e 8471.30.19), SEM UNIDADES DE ARMAZENAMENTO DE MEMÓRIA DOS TIPOS MAGNÉTICO E ÓPTICO: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 - montagem e soldagem de todos os componentes na placas de circuitos impresso que implementem as funções de processamento central e memória, observado o disposto neste artigo;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 - montagem das partes elétricas e mecânicas, observado o disposto neste artigo; e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 - integração das placas de circuito impresso e das partes elétricas e mecânicas na formação do produto final.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 1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 Desde que obedecidas </w:t>
      </w:r>
      <w:proofErr w:type="gram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</w:t>
      </w:r>
      <w:proofErr w:type="gram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etapas constantes deste Anexo, as atividades ou operações inerentes às etapas de produção poderão ser realizadas por terceiros, exceto a etapa constante do inciso III, que não poderá ser terceirizada.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 2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Para o cumprimento do disposto no caput ficam temporariamente dispensados da montagem local os seguintes módulos, subconjuntos ou unidades: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 - teclado;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 - tela de cristal líquido, plasma ou outras tecnologias, inclusive com a estrutura de fixação com ou sem dispositivo de captura de imagem ou alto-falantes incorporados;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 - dispositivo apontador sensível ao toque (</w:t>
      </w:r>
      <w:proofErr w:type="spell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touch</w:t>
      </w:r>
      <w:proofErr w:type="spell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pad</w:t>
      </w:r>
      <w:proofErr w:type="spell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touch</w:t>
      </w:r>
      <w:proofErr w:type="spell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screen);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 - leitor de cartões, leitor biométrico, microfone e alto-falantes;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 - bateria;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 - carregador de baterias ou conversor CA/CC;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 - subconjunto ventilador com dissipador;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VIII - subconjuntos gabinete e base plástica, com blindagem eletromagnética ou insertos metálicos incorporados, podendo conter, ou não, dispositivo sensível ao toque (</w:t>
      </w:r>
      <w:proofErr w:type="spell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touch</w:t>
      </w:r>
      <w:proofErr w:type="spell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pad</w:t>
      </w:r>
      <w:proofErr w:type="spell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touch</w:t>
      </w:r>
      <w:proofErr w:type="spell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screen);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IX - sensor de impacto; e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 - interfaces de comunicação com tecnologia sem fio (</w:t>
      </w:r>
      <w:proofErr w:type="spell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Wi-Fi</w:t>
      </w:r>
      <w:proofErr w:type="spell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Bluetooth, </w:t>
      </w:r>
      <w:proofErr w:type="spellStart"/>
      <w:proofErr w:type="gramStart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WiMax</w:t>
      </w:r>
      <w:proofErr w:type="spellEnd"/>
      <w:proofErr w:type="gramEnd"/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</w:t>
      </w:r>
    </w:p>
    <w:p w:rsidR="00C17E89" w:rsidRPr="00C17E89" w:rsidRDefault="00C17E89" w:rsidP="00C17E8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 3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Para o cumprimento do disposto no caput ficam estabelecidos os seguintes cronogramas de utilização de componentes, partes e peças, produzidos conforme os respectivos PPB, cujos percentuais serão estabelecidos tomando-se por base a quantidade total dos respectivos componentes utilizados nas MÁQUINAS AUTOMÁTICAS PARA PROCESSAMENTO DE DADOS DIGITAL, PORTÁTEIS (NCM: 8471.30.12 e 8471.30.19), produzidas no ano calendário:</w:t>
      </w:r>
    </w:p>
    <w:p w:rsidR="00C17E89" w:rsidRPr="00C17E89" w:rsidRDefault="00C17E89" w:rsidP="00C17E8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7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 - placas de circuito impresso montadas com componentes elétricos ou eletrônicos que implementem a função de processamento central (placa-mãe):  </w:t>
      </w:r>
    </w:p>
    <w:tbl>
      <w:tblPr>
        <w:tblW w:w="8850" w:type="dxa"/>
        <w:jc w:val="center"/>
        <w:tblCellMar>
          <w:left w:w="0" w:type="dxa"/>
          <w:right w:w="0" w:type="dxa"/>
        </w:tblCellMar>
        <w:tblLook w:val="04A0"/>
      </w:tblPr>
      <w:tblGrid>
        <w:gridCol w:w="4702"/>
        <w:gridCol w:w="1926"/>
        <w:gridCol w:w="2222"/>
      </w:tblGrid>
      <w:tr w:rsidR="00C17E89" w:rsidRPr="00C17E89" w:rsidTr="00C17E8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Ano calendário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2011</w:t>
            </w:r>
          </w:p>
        </w:tc>
      </w:tr>
      <w:tr w:rsidR="00C17E89" w:rsidRPr="00C17E89" w:rsidTr="00C17E89">
        <w:trPr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Percentual montado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60%</w:t>
            </w:r>
          </w:p>
        </w:tc>
      </w:tr>
    </w:tbl>
    <w:p w:rsidR="00C17E89" w:rsidRPr="00C17E89" w:rsidRDefault="00C17E89" w:rsidP="00C17E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 II - placas de circuito impresso montadas com componentes elétricos ou eletrônicos que implementem as funções de memória (módulos de memória RAM):</w:t>
      </w:r>
    </w:p>
    <w:tbl>
      <w:tblPr>
        <w:tblW w:w="8850" w:type="dxa"/>
        <w:jc w:val="center"/>
        <w:tblCellMar>
          <w:left w:w="0" w:type="dxa"/>
          <w:right w:w="0" w:type="dxa"/>
        </w:tblCellMar>
        <w:tblLook w:val="04A0"/>
      </w:tblPr>
      <w:tblGrid>
        <w:gridCol w:w="5404"/>
        <w:gridCol w:w="1756"/>
        <w:gridCol w:w="1690"/>
      </w:tblGrid>
      <w:tr w:rsidR="00C17E89" w:rsidRPr="00C17E89" w:rsidTr="00C17E8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Ano calendário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2011</w:t>
            </w:r>
          </w:p>
        </w:tc>
      </w:tr>
      <w:tr w:rsidR="00C17E89" w:rsidRPr="00C17E89" w:rsidTr="00C17E89">
        <w:trPr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Produzidos de acordo com o PPB específico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35%</w:t>
            </w:r>
          </w:p>
        </w:tc>
      </w:tr>
      <w:tr w:rsidR="00C17E89" w:rsidRPr="00C17E89" w:rsidTr="00C17E89">
        <w:trPr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Montado no País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25%</w:t>
            </w:r>
          </w:p>
        </w:tc>
      </w:tr>
      <w:tr w:rsidR="00C17E89" w:rsidRPr="00C17E89" w:rsidTr="00C17E89">
        <w:trPr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 produzido no País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60%</w:t>
            </w:r>
          </w:p>
        </w:tc>
      </w:tr>
    </w:tbl>
    <w:p w:rsidR="00C17E89" w:rsidRPr="00C17E89" w:rsidRDefault="00C17E89" w:rsidP="00C17E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 III - unidade de armazenamento tipo NAND Flash:</w:t>
      </w:r>
    </w:p>
    <w:tbl>
      <w:tblPr>
        <w:tblW w:w="8850" w:type="dxa"/>
        <w:jc w:val="center"/>
        <w:tblCellMar>
          <w:left w:w="0" w:type="dxa"/>
          <w:right w:w="0" w:type="dxa"/>
        </w:tblCellMar>
        <w:tblLook w:val="04A0"/>
      </w:tblPr>
      <w:tblGrid>
        <w:gridCol w:w="5404"/>
        <w:gridCol w:w="1756"/>
        <w:gridCol w:w="1690"/>
      </w:tblGrid>
      <w:tr w:rsidR="00C17E89" w:rsidRPr="00C17E89" w:rsidTr="00C17E8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Ano calendário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2011</w:t>
            </w:r>
          </w:p>
        </w:tc>
      </w:tr>
      <w:tr w:rsidR="00C17E89" w:rsidRPr="00C17E89" w:rsidTr="00C17E89">
        <w:trPr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Produzidos de acordo com o PPB específico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25%</w:t>
            </w:r>
          </w:p>
        </w:tc>
      </w:tr>
      <w:tr w:rsidR="00C17E89" w:rsidRPr="00C17E89" w:rsidTr="00C17E89">
        <w:trPr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Montado no País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50%</w:t>
            </w:r>
          </w:p>
        </w:tc>
      </w:tr>
      <w:tr w:rsidR="00C17E89" w:rsidRPr="00C17E89" w:rsidTr="00C17E89">
        <w:trPr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 produzido no País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75%</w:t>
            </w:r>
          </w:p>
        </w:tc>
      </w:tr>
      <w:tr w:rsidR="00C17E89" w:rsidRPr="00C17E89" w:rsidTr="00C17E89">
        <w:trPr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C17E89" w:rsidRPr="00C17E89" w:rsidRDefault="00C17E89" w:rsidP="00C17E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17E8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 IV - carregadores de baterias ou conversores CA/CC:</w:t>
      </w:r>
    </w:p>
    <w:tbl>
      <w:tblPr>
        <w:tblW w:w="8850" w:type="dxa"/>
        <w:jc w:val="center"/>
        <w:tblCellMar>
          <w:left w:w="0" w:type="dxa"/>
          <w:right w:w="0" w:type="dxa"/>
        </w:tblCellMar>
        <w:tblLook w:val="04A0"/>
      </w:tblPr>
      <w:tblGrid>
        <w:gridCol w:w="5404"/>
        <w:gridCol w:w="1756"/>
        <w:gridCol w:w="1690"/>
      </w:tblGrid>
      <w:tr w:rsidR="00C17E89" w:rsidRPr="00C17E89" w:rsidTr="00C17E8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Ano calendário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2011</w:t>
            </w:r>
          </w:p>
        </w:tc>
      </w:tr>
      <w:tr w:rsidR="00C17E89" w:rsidRPr="00C17E89" w:rsidTr="00C17E89">
        <w:trPr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Produzidos de acordo com o PPB específico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7E89" w:rsidRPr="00C17E89" w:rsidRDefault="00C17E89" w:rsidP="00C17E89">
            <w:pPr>
              <w:spacing w:before="100" w:beforeAutospacing="1" w:after="100" w:afterAutospacing="1" w:line="240" w:lineRule="auto"/>
              <w:ind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25%</w:t>
            </w:r>
          </w:p>
        </w:tc>
      </w:tr>
    </w:tbl>
    <w:p w:rsidR="00647901" w:rsidRPr="00647901" w:rsidRDefault="00647901" w:rsidP="00647901">
      <w:pPr>
        <w:spacing w:before="100" w:beforeAutospacing="1" w:after="100" w:afterAutospacing="1" w:line="240" w:lineRule="auto"/>
        <w:ind w:firstLine="900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647901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</w:p>
    <w:p w:rsidR="006947AB" w:rsidRPr="00647901" w:rsidRDefault="00C17E89" w:rsidP="00647901"/>
    <w:sectPr w:rsidR="006947AB" w:rsidRPr="00647901" w:rsidSect="001F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926FA2"/>
    <w:rsid w:val="00123FE4"/>
    <w:rsid w:val="001F4F8C"/>
    <w:rsid w:val="00535E6B"/>
    <w:rsid w:val="00647901"/>
    <w:rsid w:val="00926FA2"/>
    <w:rsid w:val="00C17E89"/>
    <w:rsid w:val="00CE04FA"/>
    <w:rsid w:val="00D3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8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5E6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35E6B"/>
    <w:rPr>
      <w:color w:val="0000FF"/>
      <w:u w:val="single"/>
    </w:rPr>
  </w:style>
  <w:style w:type="paragraph" w:customStyle="1" w:styleId="texto1">
    <w:name w:val="texto1"/>
    <w:basedOn w:val="Normal"/>
    <w:rsid w:val="0053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0">
    <w:name w:val="texto10"/>
    <w:basedOn w:val="Normal"/>
    <w:rsid w:val="0053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e">
    <w:name w:val="spelle"/>
    <w:basedOn w:val="Fontepargpadro"/>
    <w:rsid w:val="00647901"/>
  </w:style>
  <w:style w:type="character" w:customStyle="1" w:styleId="grame">
    <w:name w:val="grame"/>
    <w:basedOn w:val="Fontepargpadro"/>
    <w:rsid w:val="00647901"/>
  </w:style>
  <w:style w:type="paragraph" w:customStyle="1" w:styleId="tpementa">
    <w:name w:val="tpementa"/>
    <w:basedOn w:val="Normal"/>
    <w:rsid w:val="00C1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7E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pdata">
    <w:name w:val="tpdata"/>
    <w:basedOn w:val="Normal"/>
    <w:rsid w:val="00C1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7E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C1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4-2006/2005/Decreto/D560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LEIS/2003/L10.83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2002/L10637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lanalto.gov.br/ccivil_03/LEIS/LCP/Lcp123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egislacao.planalto.gov.br/legisla/legislacao.nsf/Viw_Identificacao/DEC%207.243-2010?OpenDocument" TargetMode="External"/><Relationship Id="rId9" Type="http://schemas.openxmlformats.org/officeDocument/2006/relationships/hyperlink" Target="http://www.planalto.gov.br/ccivil_03/_Ato2004-2006/2005/Decreto/D5602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2116</Words>
  <Characters>11430</Characters>
  <Application>Microsoft Office Word</Application>
  <DocSecurity>0</DocSecurity>
  <Lines>95</Lines>
  <Paragraphs>27</Paragraphs>
  <ScaleCrop>false</ScaleCrop>
  <Company>UNIFACS</Company>
  <LinksUpToDate>false</LinksUpToDate>
  <CharactersWithSpaces>13519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2</cp:revision>
  <dcterms:created xsi:type="dcterms:W3CDTF">2010-08-31T17:26:00Z</dcterms:created>
  <dcterms:modified xsi:type="dcterms:W3CDTF">2010-08-31T17:26:00Z</dcterms:modified>
</cp:coreProperties>
</file>