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953"/>
      </w:tblGrid>
      <w:tr w:rsidR="00C17E89" w:rsidRPr="00C17E89" w:rsidTr="00C17E89">
        <w:trPr>
          <w:tblCellSpacing w:w="0" w:type="dxa"/>
          <w:jc w:val="center"/>
        </w:trPr>
        <w:tc>
          <w:tcPr>
            <w:tcW w:w="4300" w:type="pct"/>
            <w:vAlign w:val="center"/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bookmarkStart w:id="0" w:name="_1_-_INSTRUÇÃO_NORMATIVA_Nº_85,_DE_2"/>
            <w:bookmarkEnd w:id="0"/>
            <w:r w:rsidRPr="00C17E89">
              <w:rPr>
                <w:rFonts w:ascii="Arial" w:eastAsia="Times New Roman" w:hAnsi="Arial" w:cs="Arial"/>
                <w:b/>
                <w:bCs/>
                <w:color w:val="808000"/>
                <w:sz w:val="36"/>
                <w:lang w:eastAsia="pt-BR"/>
              </w:rPr>
              <w:t>Presidência da República</w:t>
            </w:r>
            <w:r w:rsidRPr="00C17E89">
              <w:rPr>
                <w:rFonts w:ascii="Arial" w:eastAsia="Times New Roman" w:hAnsi="Arial" w:cs="Arial"/>
                <w:b/>
                <w:bCs/>
                <w:color w:val="808000"/>
                <w:sz w:val="24"/>
                <w:szCs w:val="24"/>
                <w:lang w:eastAsia="pt-BR"/>
              </w:rPr>
              <w:br/>
            </w:r>
            <w:r w:rsidRPr="00C17E89">
              <w:rPr>
                <w:rFonts w:ascii="Arial" w:eastAsia="Times New Roman" w:hAnsi="Arial" w:cs="Arial"/>
                <w:b/>
                <w:bCs/>
                <w:color w:val="808000"/>
                <w:sz w:val="27"/>
                <w:lang w:eastAsia="pt-BR"/>
              </w:rPr>
              <w:t>Casa Civil</w:t>
            </w:r>
            <w:r w:rsidRPr="00C17E89">
              <w:rPr>
                <w:rFonts w:ascii="Arial" w:eastAsia="Times New Roman" w:hAnsi="Arial" w:cs="Arial"/>
                <w:b/>
                <w:bCs/>
                <w:color w:val="808000"/>
                <w:sz w:val="27"/>
                <w:szCs w:val="27"/>
                <w:lang w:eastAsia="pt-BR"/>
              </w:rPr>
              <w:br/>
            </w:r>
            <w:r w:rsidRPr="00C17E89">
              <w:rPr>
                <w:rFonts w:ascii="Arial" w:eastAsia="Times New Roman" w:hAnsi="Arial" w:cs="Arial"/>
                <w:b/>
                <w:bCs/>
                <w:color w:val="808000"/>
                <w:sz w:val="24"/>
                <w:szCs w:val="24"/>
                <w:lang w:eastAsia="pt-BR"/>
              </w:rPr>
              <w:t>Subchefia para Assuntos Jurídicos</w:t>
            </w:r>
          </w:p>
        </w:tc>
      </w:tr>
    </w:tbl>
    <w:p w:rsidR="00C17E89" w:rsidRPr="00C17E89" w:rsidRDefault="00C17E89" w:rsidP="00C17E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hyperlink r:id="rId4" w:history="1">
        <w:r w:rsidRPr="00C17E89">
          <w:rPr>
            <w:rFonts w:ascii="Arial" w:eastAsia="Times New Roman" w:hAnsi="Arial" w:cs="Arial"/>
            <w:b/>
            <w:bCs/>
            <w:color w:val="000080"/>
            <w:sz w:val="24"/>
            <w:szCs w:val="24"/>
            <w:u w:val="single"/>
            <w:lang w:eastAsia="pt-BR"/>
          </w:rPr>
          <w:t>DECRETO Nº 7.243, DE 26 DE JULHO DE 2010.</w:t>
        </w:r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167"/>
        <w:gridCol w:w="4337"/>
      </w:tblGrid>
      <w:tr w:rsidR="00C17E89" w:rsidRPr="00C17E89" w:rsidTr="00C17E89">
        <w:trPr>
          <w:trHeight w:val="285"/>
          <w:tblCellSpacing w:w="0" w:type="dxa"/>
        </w:trPr>
        <w:tc>
          <w:tcPr>
            <w:tcW w:w="2450" w:type="pct"/>
            <w:vAlign w:val="center"/>
            <w:hideMark/>
          </w:tcPr>
          <w:p w:rsidR="00C17E89" w:rsidRPr="00C17E89" w:rsidRDefault="00C17E89" w:rsidP="00C17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50" w:type="pct"/>
            <w:vAlign w:val="center"/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Arial" w:eastAsia="Times New Roman" w:hAnsi="Arial" w:cs="Arial"/>
                <w:color w:val="800000"/>
                <w:sz w:val="20"/>
                <w:szCs w:val="20"/>
                <w:lang w:eastAsia="pt-BR"/>
              </w:rPr>
              <w:t>Regulamenta o Programa Um Computador por Aluno - PROUCA e o Regime Especial de Aquisição de Computadores para uso Educacional - RECOMPE.</w:t>
            </w:r>
          </w:p>
        </w:tc>
      </w:tr>
    </w:tbl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 PRESIDENTE DA REPÚBLICA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no uso das atribuições que lhe confere o art. 84, inciso IV, da Constituição, e tendo em vista o disposto nos </w:t>
      </w:r>
      <w:proofErr w:type="spell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arts</w:t>
      </w:r>
      <w:proofErr w:type="spell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6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a 14 da Lei n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12.249, de 11 de junho de 2010, no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 nos §§ 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do art. 9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 Lei n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4.502, de 30 de novembro de 1964, e no art. 22 da Lei n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11.945, de 4 de junho de 2009, </w:t>
      </w:r>
    </w:p>
    <w:p w:rsidR="00C17E89" w:rsidRPr="00C17E89" w:rsidRDefault="00C17E89" w:rsidP="00C17E89">
      <w:pPr>
        <w:keepNext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DECRETA: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 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Este Decreto regulamenta o Programa Um Computador por Aluno - PROUCA e o Regime Especial de Aquisição de Computadores para uso Educacional - RECOMPE.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 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O PROUCA tem o objetivo de promover a inclusão digital nas escolas das redes públicas de ensino federal, estadual, distrital, municipal ou nas escolas sem fins lucrativos de atendimento a pessoas com deficiência, mediante a aquisição e a utilização de soluções de informática, constituídas de equipamentos de informática, de programas de computador (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software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neles instalados e de suporte e assistência técnica necessários ao seu funcionamento.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 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A aquisição a que se refere 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será realizada por meio de licitação pública, observados termos e legislação vigentes.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 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Os equipamentos de informática de que trata o § 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do art. 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são os computadores portáteis classificados nos códigos 8471.30.12 e 8471.30.19 da Nomenclatura Comum do </w:t>
      </w:r>
      <w:proofErr w:type="spell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Mercosul</w:t>
      </w:r>
      <w:proofErr w:type="spell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(NCM).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 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Ato conjunto dos Ministros de Estado da Educação e da Fazenda estabelecerá definições, especificações e características técnicas mínimas dos equipamentos referidos no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podendo, inclusive, determinar os valores mínimos e máximos alcançados pelo PROUCA.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 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Os equipamentos mencionados no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destinam-se ao uso educacional por alunos e professores das escolas das redes públicas de ensino federal, estadual, distrital, municipal ou das escolas sem fins lucrativos de atendimento a pessoas com deficiência, exclusivamente como instrumento de aprendizagem.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 3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Para efeito de inclusão no RECOMPE, terão prioridade as Soluções de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Software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Livre e de Código Aberto e sem custos de licenças, conforme as diretrizes das políticas educacionais do Ministério da Educação. 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Art. 3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O Processo Produtivo Básico - PPB específico que define etapas mínimas e condicionantes de fabricação dos equipamentos de que trata o art.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é o constante do Anexo.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Parágrafo único.  O PPB poderá ser alterado pelos Ministros de Estado do Desenvolvimento, Indústria e Comércio Exterior e da Ciência e Tecnologia, por meio de portaria interministerial, sempre que fatores técnicos ou econômicos, devidamente comprovados, assim o determinarem.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 4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É beneficiária do RECOMPE a pessoa jurídica habilitada que exerça atividade de fabricação dos equipamentos mencionados no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 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art.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 que seja vencedora do processo de licitação referido no §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do art. 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 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Também será considerada beneficiária do RECOMPE a pessoa jurídica que exerça a atividade de manufatura terceirizada para a vencedora do processo de licitação referido no §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do art. 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 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As pessoas jurídicas optantes pelo Regime Especial Unificado de Arrecadação de Tributos e Contribuições devidos pelas Microempresas e Empresas de Pequeno Porte - Simples Nacional, de que trata a </w:t>
      </w:r>
      <w:hyperlink r:id="rId5" w:history="1"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 xml:space="preserve">Lei Complementar </w:t>
        </w:r>
        <w:proofErr w:type="gramStart"/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n</w:t>
        </w:r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pt-BR"/>
          </w:rPr>
          <w:t>o</w:t>
        </w:r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 123</w:t>
        </w:r>
        <w:proofErr w:type="gramEnd"/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, de 14 de dezembro de 2006</w:t>
        </w:r>
      </w:hyperlink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as pessoas jurídicas de que tratam o </w:t>
      </w:r>
      <w:hyperlink r:id="rId6" w:anchor="art8ii" w:history="1"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inciso II do art. 8</w:t>
        </w:r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pt-BR"/>
          </w:rPr>
          <w:t>o</w:t>
        </w:r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 da Lei n</w:t>
        </w:r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pt-BR"/>
          </w:rPr>
          <w:t>o</w:t>
        </w:r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 10.637, de 30 de dezembro de 2002</w:t>
        </w:r>
      </w:hyperlink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o </w:t>
      </w:r>
      <w:hyperlink r:id="rId7" w:anchor="art10ii" w:history="1"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inciso II do art. 10 da Lei n</w:t>
        </w:r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pt-BR"/>
          </w:rPr>
          <w:t>o</w:t>
        </w:r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 10.833, de 29 de dezembro de 2003</w:t>
        </w:r>
      </w:hyperlink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não poderão aderir ao RECOMPE. 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 5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O RECOMPE suspende, conforme o caso, a exigência: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 - do Imposto sobre Produtos Industrializados - IPI incidente sobre a saída do estabelecimento industrial de matérias-primas e produtos intermediários destinados à industrialização dos equipamentos mencionados no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 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art.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quando adquiridos por pessoa jurídica habilitada ao regime;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 - da Contribuição para o PIS/PASEP e da Contribuição para o Financiamento da Seguridade Social - COFINS incidentes sobre a receita decorrente da: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proofErr w:type="gram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 venda de matérias-primas e produtos intermediários destinados à industrialização dos equipamentos mencionados no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do art.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quando adquiridos por pessoa jurídica habilitada ao regime; e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b)</w:t>
      </w:r>
      <w:proofErr w:type="gram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prestação de serviços, por pessoa jurídica estabelecida no País, à pessoa jurídica habilitada ao regime, quando destinados aos equipamentos mencionados no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do art.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 e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rPr>
          <w:rFonts w:ascii="Arial" w:eastAsia="Times New Roman" w:hAnsi="Arial" w:cs="Arial"/>
          <w:sz w:val="20"/>
          <w:szCs w:val="20"/>
          <w:lang w:eastAsia="pt-BR"/>
        </w:rPr>
      </w:pPr>
      <w:r w:rsidRPr="00C17E89">
        <w:rPr>
          <w:rFonts w:ascii="Arial" w:eastAsia="Times New Roman" w:hAnsi="Arial" w:cs="Arial"/>
          <w:sz w:val="20"/>
          <w:szCs w:val="20"/>
          <w:lang w:eastAsia="pt-BR"/>
        </w:rPr>
        <w:t>III - do IPI, da Contribuição para o PIS/</w:t>
      </w:r>
      <w:proofErr w:type="spellStart"/>
      <w:r w:rsidRPr="00C17E89">
        <w:rPr>
          <w:rFonts w:ascii="Arial" w:eastAsia="Times New Roman" w:hAnsi="Arial" w:cs="Arial"/>
          <w:sz w:val="20"/>
          <w:szCs w:val="20"/>
          <w:lang w:eastAsia="pt-BR"/>
        </w:rPr>
        <w:t>PASEP-Importação</w:t>
      </w:r>
      <w:proofErr w:type="spellEnd"/>
      <w:r w:rsidRPr="00C17E89">
        <w:rPr>
          <w:rFonts w:ascii="Arial" w:eastAsia="Times New Roman" w:hAnsi="Arial" w:cs="Arial"/>
          <w:sz w:val="20"/>
          <w:szCs w:val="20"/>
          <w:lang w:eastAsia="pt-BR"/>
        </w:rPr>
        <w:t xml:space="preserve">, da </w:t>
      </w:r>
      <w:proofErr w:type="spellStart"/>
      <w:r w:rsidRPr="00C17E89">
        <w:rPr>
          <w:rFonts w:ascii="Arial" w:eastAsia="Times New Roman" w:hAnsi="Arial" w:cs="Arial"/>
          <w:sz w:val="20"/>
          <w:szCs w:val="20"/>
          <w:lang w:eastAsia="pt-BR"/>
        </w:rPr>
        <w:t>COFINS-Importação</w:t>
      </w:r>
      <w:proofErr w:type="spellEnd"/>
      <w:r w:rsidRPr="00C17E89">
        <w:rPr>
          <w:rFonts w:ascii="Arial" w:eastAsia="Times New Roman" w:hAnsi="Arial" w:cs="Arial"/>
          <w:sz w:val="20"/>
          <w:szCs w:val="20"/>
          <w:lang w:eastAsia="pt-BR"/>
        </w:rPr>
        <w:t xml:space="preserve">, do Imposto de Importação e da Contribuição de Intervenção no Domínio Econômico destinada a financiar o Programa de Estímulo à Interação Universidade-Empresa para o Apoio à </w:t>
      </w:r>
      <w:proofErr w:type="gramStart"/>
      <w:r w:rsidRPr="00C17E89">
        <w:rPr>
          <w:rFonts w:ascii="Arial" w:eastAsia="Times New Roman" w:hAnsi="Arial" w:cs="Arial"/>
          <w:sz w:val="20"/>
          <w:szCs w:val="20"/>
          <w:lang w:eastAsia="pt-BR"/>
        </w:rPr>
        <w:t>Inovação incidentes</w:t>
      </w:r>
      <w:proofErr w:type="gramEnd"/>
      <w:r w:rsidRPr="00C17E89">
        <w:rPr>
          <w:rFonts w:ascii="Arial" w:eastAsia="Times New Roman" w:hAnsi="Arial" w:cs="Arial"/>
          <w:sz w:val="20"/>
          <w:szCs w:val="20"/>
          <w:lang w:eastAsia="pt-BR"/>
        </w:rPr>
        <w:t xml:space="preserve"> sobre: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17E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t-BR"/>
        </w:rPr>
        <w:t>a</w:t>
      </w:r>
      <w:proofErr w:type="gramEnd"/>
      <w:r w:rsidRPr="00C17E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t-BR"/>
        </w:rPr>
        <w:t>) matérias-primas e produtos intermediários destinados à industrialização dos equipamentos mencionados no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 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art.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t-BR"/>
        </w:rPr>
        <w:t>, quando importados diretamente por pessoa jurídica habilitada ao regime; e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b)</w:t>
      </w:r>
      <w:proofErr w:type="gram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o pagamento de serviços importados diretamente por pessoa jurídica habilitada ao regime, quando destinados aos equipamentos mencionados no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 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art.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 6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A suspensão de que trata o art. 5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converte-se em alíquota zero após a incorporação ou utilização dos bens ou dos serviços adquiridos ou importados com o regime do RECOMPE nos equipamentos mencionados no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 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art.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 7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Ficam isentos do IPI os equipamentos de informática mencionados no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 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art.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saídos da pessoa jurídica beneficiária do RECOMPE diretamente para as escolas referidas no § 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do art. 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observado o disposto no art. 3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sz w:val="20"/>
          <w:szCs w:val="20"/>
          <w:lang w:eastAsia="pt-BR"/>
        </w:rPr>
      </w:pPr>
      <w:r w:rsidRPr="00C17E89">
        <w:rPr>
          <w:rFonts w:ascii="Arial" w:eastAsia="Times New Roman" w:hAnsi="Arial" w:cs="Arial"/>
          <w:sz w:val="20"/>
          <w:szCs w:val="20"/>
          <w:lang w:eastAsia="pt-BR"/>
        </w:rPr>
        <w:t>Art. 8</w:t>
      </w:r>
      <w:r w:rsidRPr="00C17E89">
        <w:rPr>
          <w:rFonts w:ascii="Arial" w:eastAsia="Times New Roman" w:hAnsi="Arial" w:cs="Arial"/>
          <w:sz w:val="20"/>
          <w:szCs w:val="20"/>
          <w:u w:val="single"/>
          <w:vertAlign w:val="superscript"/>
          <w:lang w:eastAsia="pt-BR"/>
        </w:rPr>
        <w:t>o</w:t>
      </w:r>
      <w:r w:rsidRPr="00C17E89">
        <w:rPr>
          <w:rFonts w:ascii="Arial" w:eastAsia="Times New Roman" w:hAnsi="Arial" w:cs="Arial"/>
          <w:sz w:val="20"/>
          <w:szCs w:val="20"/>
          <w:lang w:eastAsia="pt-BR"/>
        </w:rPr>
        <w:t>  As operações de importação efetuadas com os benefícios previstos neste Decreto deverão ter anuência prévia do Ministério da Ciência e Tecnologia.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 9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As notas fiscais relativas às operações de venda no mercado interno de bens e serviços com os benefícios previstos no art. 5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deverão: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 - estar acompanhadas de documento emitido pelo Ministério da Ciência e Tecnologia, atestando que a operação é destinada ao PROUCA; e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 - conter a expressão “Venda efetuada com suspensão da exigência do IPI, da Contribuição para o PIS/PASEP e da COFINS”, com a especificação do dispositivo legal correspondente e do número do atestado emitido pelo Ministério da Ciência e Tecnologia.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 10.  As notas fiscais relativas às operações de venda no mercado interno de produtos com os benefícios previstos no art. 7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deverão conter a expressão “Venda efetuada com isenção de IPI”, com a especificação do dispositivo legal correspondente e do número do atestado emitido pelo Ministério da Ciência e Tecnologia.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Parágrafo único.  Caso os produtos referidos no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também estejam enquadrados no Programa de Inclusão Digital de que trata o </w:t>
      </w:r>
      <w:hyperlink r:id="rId8" w:history="1"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Decreto n</w:t>
        </w:r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pt-BR"/>
          </w:rPr>
          <w:t>o</w:t>
        </w:r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 5.602, de 6 de dezembro de 2005</w:t>
        </w:r>
      </w:hyperlink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as respectivas notas fiscais relativas às operações de venda no mercado interno deverão conter também a expressão “Venda efetuada com alíquota zero da Contribuição para o PIS/PASEP e da COFINS”, com especificação do dispositivo legal correspondente.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 11.  Os Ministros de Estado do Desenvolvimento, Indústria e Comércio Exterior e da Ciência e Tecnologia estabelecerão, por meio de portaria interministerial, os procedimentos para a habilitação ao RECOMPE.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Parágrafo único.  A habilitação da pessoa jurídica ao RECOMPE deverá ser aprovada em portaria conjunta dos Ministros de Estado da Ciência e Tecnologia e do Desenvolvimento, Indústria e Comércio Exterior. 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 12.  A pessoa jurídica beneficiária do RECOMPE terá a habilitação cancelada: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 - na hipótese de não atender ou deixar de atender ao PPB específico de que trata o art. 3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II - se não atender ou deixar de atender ao requisito da regularidade fiscal, quanto </w:t>
      </w:r>
      <w:r w:rsidRPr="00C17E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t-BR"/>
        </w:rPr>
        <w:t>aos tributos e contribuições administrados pela Secretaria da Receita Federal do Brasil;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 - sempre que se apure que o beneficiário deixou de observar a correta destinação dos equipamentos produzidos; ou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IV - a pedido.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t-BR"/>
        </w:rPr>
        <w:t>Parágrafo único.  Caberá ao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Ministério do Desenvolvimento, Indústria e Comércio Exterior e ao Ministério da Ciência e Tecnologia a verificação do atendimento das condições de que trata 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bem como o cancelamento da habilitação, se for o caso. 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t-BR"/>
        </w:rPr>
        <w:t>Art. 13.  Na hipótese de cancelamento da habilitação, a pessoa jurídica beneficiária do RECOMPE fica obrigada a recolher os tributos não pagos em função da suspensão de que trata o art. 5</w:t>
      </w:r>
      <w:r w:rsidRPr="00C17E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t-BR"/>
        </w:rPr>
        <w:t> e da isenção de que trata o art. 7</w:t>
      </w:r>
      <w:r w:rsidRPr="00C17E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pt-BR"/>
        </w:rPr>
        <w:t>, acrescidos de juros e multa de mora ou de ofício, na forma da lei, contados a partir da data de aquisição ou do registro da Declaração de Importação - DI, na condição de:</w:t>
      </w:r>
    </w:p>
    <w:p w:rsidR="00C17E89" w:rsidRPr="00C17E89" w:rsidRDefault="00C17E89" w:rsidP="00C17E89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 - contribuinte, em relação ao IPI incidente no desembaraço aduaneiro, à Contribuição para o PIS/</w:t>
      </w:r>
      <w:proofErr w:type="spell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PASEP-Importação</w:t>
      </w:r>
      <w:proofErr w:type="spell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à </w:t>
      </w:r>
      <w:proofErr w:type="spell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COFINS-Importação</w:t>
      </w:r>
      <w:proofErr w:type="spell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 ou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 - responsável, em relação ao IPI, à Contribuição para o PIS/PASEP, à COFINS e à Contribuição de Intervenção no Domínio Econômico destinada a financiar o Programa de Estímulo à Interação Universidade-Empresa para o Apoio à Inovação.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Art. 14.  A não observância da destinação prevista para os produtos adquiridos com os benefícios de que tratam os </w:t>
      </w:r>
      <w:proofErr w:type="spell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arts</w:t>
      </w:r>
      <w:proofErr w:type="spell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5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 7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proofErr w:type="gram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sujeitará</w:t>
      </w:r>
      <w:proofErr w:type="gram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responsável ao pagamento dos tributos e contribuições que deixaram de ser recolhidos, como se os benefícios não existissem.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 15.  No que se refere à receita de venda dos equipamentos de informática de que trata o </w:t>
      </w:r>
      <w:r w:rsidRPr="00C17E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caput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do art. 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para as escolas referidas no § 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do art. 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 redução a zero das alíquotas da Contribuição para o PIS/PASEP e da COFINS está condicionada ao atendimento dos requisitos constantes do </w:t>
      </w:r>
      <w:hyperlink r:id="rId9" w:history="1">
        <w:r w:rsidRPr="00C17E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Decreto no 5.602, de 2005.</w:t>
        </w:r>
      </w:hyperlink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 16.  Este Decreto entra em vigor na data de sua publicação.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rPr>
          <w:rFonts w:ascii="Arial" w:eastAsia="Times New Roman" w:hAnsi="Arial" w:cs="Arial"/>
          <w:sz w:val="20"/>
          <w:szCs w:val="20"/>
          <w:lang w:eastAsia="pt-BR"/>
        </w:rPr>
      </w:pP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Brasília, 26 de julho de 2010; 189</w:t>
      </w:r>
      <w:r w:rsidRPr="00C17E89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da Independência e 122</w:t>
      </w:r>
      <w:r w:rsidRPr="00C17E89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da República.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LUIZ INÁCIO LULA DA SILVA</w:t>
      </w: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 xml:space="preserve">Guido </w:t>
      </w:r>
      <w:proofErr w:type="spellStart"/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Mantega</w:t>
      </w:r>
      <w:proofErr w:type="spellEnd"/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Fernando Haddad</w:t>
      </w: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Miguel Jorge </w:t>
      </w: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Sergio Machado Rezende</w:t>
      </w:r>
    </w:p>
    <w:p w:rsidR="00C17E89" w:rsidRPr="00C17E89" w:rsidRDefault="00C17E89" w:rsidP="00C17E89">
      <w:pPr>
        <w:spacing w:before="303" w:after="303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C17E89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Este texto não substitui o publicado no DOU de 27.7.2010</w:t>
      </w:r>
    </w:p>
    <w:p w:rsidR="00C17E89" w:rsidRPr="00C17E89" w:rsidRDefault="00C17E89" w:rsidP="00C17E8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PROCESSO PRODUTIVO BÁSICO - PPB PARA MÁQUINA AUTOMÁTICA PARA PROCESSAMENTO DE DADOS DIGITAL PORTÁTIL,</w:t>
      </w: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lastRenderedPageBreak/>
        <w:t> DESTINADA À UTILIZAÇÃO DO PROGRAMA “UM COMPUTADOR POR ALUNO - PROUCA” 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Processo Produtivo Básico - PPB para o produto MÁQUINA AUTOMÁTICA PARA PROCESSAMENTO DE DADOS DIGITAL, PORTÁTIL (NCM: 8471.30.12 e 8471.30.19), SEM UNIDADES DE ARMAZENAMENTO DE MEMÓRIA DOS TIPOS MAGNÉTICO E ÓPTICO: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 - montagem e soldagem de todos os componentes na placas de circuitos impresso que implementem as funções de processamento central e memória, observado o disposto neste artigo;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 - montagem das partes elétricas e mecânicas, observado o disposto neste artigo; e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 - integração das placas de circuito impresso e das partes elétricas e mecânicas na formação do produto final.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 1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 Desde que obedecidas </w:t>
      </w:r>
      <w:proofErr w:type="gram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</w:t>
      </w:r>
      <w:proofErr w:type="gram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etapas constantes deste Anexo, as atividades ou operações inerentes às etapas de produção poderão ser realizadas por terceiros, exceto a etapa constante do inciso III, que não poderá ser terceirizada.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 2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Para o cumprimento do disposto no caput ficam temporariamente dispensados da montagem local os seguintes módulos, subconjuntos ou unidades: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 - teclado;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 - tela de cristal líquido, plasma ou outras tecnologias, inclusive com a estrutura de fixação com ou sem dispositivo de captura de imagem ou alto-falantes incorporados;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III - dispositivo apontador sensível ao toque (</w:t>
      </w:r>
      <w:proofErr w:type="spell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touch</w:t>
      </w:r>
      <w:proofErr w:type="spell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pad</w:t>
      </w:r>
      <w:proofErr w:type="spell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touch</w:t>
      </w:r>
      <w:proofErr w:type="spell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screen);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IV - leitor de cartões, leitor biométrico, microfone e alto-falantes;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 - bateria;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 - carregador de baterias ou conversor CA/CC;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VII - subconjunto ventilador com dissipador;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VIII - subconjuntos gabinete e base plástica, com blindagem eletromagnética ou insertos metálicos incorporados, podendo conter, ou não, dispositivo sensível ao toque (</w:t>
      </w:r>
      <w:proofErr w:type="spell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touch</w:t>
      </w:r>
      <w:proofErr w:type="spell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pad</w:t>
      </w:r>
      <w:proofErr w:type="spell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touch</w:t>
      </w:r>
      <w:proofErr w:type="spell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screen);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IX - sensor de impacto; e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X - interfaces de comunicação com tecnologia sem fio (</w:t>
      </w:r>
      <w:proofErr w:type="spell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Wi-Fi</w:t>
      </w:r>
      <w:proofErr w:type="spell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Bluetooth, </w:t>
      </w:r>
      <w:proofErr w:type="spellStart"/>
      <w:proofErr w:type="gramStart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WiMax</w:t>
      </w:r>
      <w:proofErr w:type="spellEnd"/>
      <w:proofErr w:type="gramEnd"/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).</w:t>
      </w:r>
    </w:p>
    <w:p w:rsidR="00C17E89" w:rsidRPr="00C17E89" w:rsidRDefault="00C17E89" w:rsidP="00C17E8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 3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vertAlign w:val="superscript"/>
          <w:lang w:eastAsia="pt-BR"/>
        </w:rPr>
        <w:t>o</w:t>
      </w: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Para o cumprimento do disposto no caput ficam estabelecidos os seguintes cronogramas de utilização de componentes, partes e peças, produzidos conforme os respectivos PPB, cujos percentuais serão estabelecidos tomando-se por base a quantidade total dos respectivos componentes utilizados nas MÁQUINAS AUTOMÁTICAS PARA PROCESSAMENTO DE DADOS DIGITAL, PORTÁTEIS (NCM: 8471.30.12 e 8471.30.19), produzidas no ano calendário:</w:t>
      </w:r>
    </w:p>
    <w:p w:rsidR="00C17E89" w:rsidRPr="00C17E89" w:rsidRDefault="00C17E89" w:rsidP="00C17E8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7E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 - placas de circuito impresso montadas com componentes elétricos ou eletrônicos que implementem a função de processamento central (placa-mãe):  </w:t>
      </w:r>
    </w:p>
    <w:tbl>
      <w:tblPr>
        <w:tblW w:w="8850" w:type="dxa"/>
        <w:jc w:val="center"/>
        <w:tblCellMar>
          <w:left w:w="0" w:type="dxa"/>
          <w:right w:w="0" w:type="dxa"/>
        </w:tblCellMar>
        <w:tblLook w:val="04A0"/>
      </w:tblPr>
      <w:tblGrid>
        <w:gridCol w:w="4702"/>
        <w:gridCol w:w="1926"/>
        <w:gridCol w:w="2222"/>
      </w:tblGrid>
      <w:tr w:rsidR="00C17E89" w:rsidRPr="00C17E89" w:rsidTr="00C17E89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Ano calendário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2011</w:t>
            </w:r>
          </w:p>
        </w:tc>
      </w:tr>
      <w:tr w:rsidR="00C17E89" w:rsidRPr="00C17E89" w:rsidTr="00C17E89">
        <w:trPr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Percentual montado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60%</w:t>
            </w:r>
          </w:p>
        </w:tc>
      </w:tr>
    </w:tbl>
    <w:p w:rsidR="00C17E89" w:rsidRPr="00C17E89" w:rsidRDefault="00C17E89" w:rsidP="00C17E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        II - placas de circuito impresso montadas com componentes elétricos ou eletrônicos que implementem as funções de memória (módulos de memória RAM):</w:t>
      </w:r>
    </w:p>
    <w:tbl>
      <w:tblPr>
        <w:tblW w:w="8850" w:type="dxa"/>
        <w:jc w:val="center"/>
        <w:tblCellMar>
          <w:left w:w="0" w:type="dxa"/>
          <w:right w:w="0" w:type="dxa"/>
        </w:tblCellMar>
        <w:tblLook w:val="04A0"/>
      </w:tblPr>
      <w:tblGrid>
        <w:gridCol w:w="5404"/>
        <w:gridCol w:w="1756"/>
        <w:gridCol w:w="1690"/>
      </w:tblGrid>
      <w:tr w:rsidR="00C17E89" w:rsidRPr="00C17E89" w:rsidTr="00C17E89">
        <w:trPr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Ano calendário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2011</w:t>
            </w:r>
          </w:p>
        </w:tc>
      </w:tr>
      <w:tr w:rsidR="00C17E89" w:rsidRPr="00C17E89" w:rsidTr="00C17E89">
        <w:trPr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Produzidos de acordo com o PPB específico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35%</w:t>
            </w:r>
          </w:p>
        </w:tc>
      </w:tr>
      <w:tr w:rsidR="00C17E89" w:rsidRPr="00C17E89" w:rsidTr="00C17E89">
        <w:trPr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Montado no País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25%</w:t>
            </w:r>
          </w:p>
        </w:tc>
      </w:tr>
      <w:tr w:rsidR="00C17E89" w:rsidRPr="00C17E89" w:rsidTr="00C17E89">
        <w:trPr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 produzido no País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60%</w:t>
            </w:r>
          </w:p>
        </w:tc>
      </w:tr>
    </w:tbl>
    <w:p w:rsidR="00C17E89" w:rsidRPr="00C17E89" w:rsidRDefault="00C17E89" w:rsidP="00C17E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       III - unidade de armazenamento tipo NAND Flash:</w:t>
      </w:r>
    </w:p>
    <w:tbl>
      <w:tblPr>
        <w:tblW w:w="8850" w:type="dxa"/>
        <w:jc w:val="center"/>
        <w:tblCellMar>
          <w:left w:w="0" w:type="dxa"/>
          <w:right w:w="0" w:type="dxa"/>
        </w:tblCellMar>
        <w:tblLook w:val="04A0"/>
      </w:tblPr>
      <w:tblGrid>
        <w:gridCol w:w="5404"/>
        <w:gridCol w:w="1756"/>
        <w:gridCol w:w="1690"/>
      </w:tblGrid>
      <w:tr w:rsidR="00C17E89" w:rsidRPr="00C17E89" w:rsidTr="00C17E89">
        <w:trPr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Ano calendário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2011</w:t>
            </w:r>
          </w:p>
        </w:tc>
      </w:tr>
      <w:tr w:rsidR="00C17E89" w:rsidRPr="00C17E89" w:rsidTr="00C17E89">
        <w:trPr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Produzidos de acordo com o PPB específico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25%</w:t>
            </w:r>
          </w:p>
        </w:tc>
      </w:tr>
      <w:tr w:rsidR="00C17E89" w:rsidRPr="00C17E89" w:rsidTr="00C17E89">
        <w:trPr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Montado no País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50%</w:t>
            </w:r>
          </w:p>
        </w:tc>
      </w:tr>
      <w:tr w:rsidR="00C17E89" w:rsidRPr="00C17E89" w:rsidTr="00C17E89">
        <w:trPr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Total produzido no País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75%</w:t>
            </w:r>
          </w:p>
        </w:tc>
      </w:tr>
      <w:tr w:rsidR="00C17E89" w:rsidRPr="00C17E89" w:rsidTr="00C17E89">
        <w:trPr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</w:tr>
    </w:tbl>
    <w:p w:rsidR="00C17E89" w:rsidRPr="00C17E89" w:rsidRDefault="00C17E89" w:rsidP="00C17E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C17E8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        IV - carregadores de baterias ou conversores CA/CC:</w:t>
      </w:r>
    </w:p>
    <w:tbl>
      <w:tblPr>
        <w:tblW w:w="8850" w:type="dxa"/>
        <w:jc w:val="center"/>
        <w:tblCellMar>
          <w:left w:w="0" w:type="dxa"/>
          <w:right w:w="0" w:type="dxa"/>
        </w:tblCellMar>
        <w:tblLook w:val="04A0"/>
      </w:tblPr>
      <w:tblGrid>
        <w:gridCol w:w="5404"/>
        <w:gridCol w:w="1756"/>
        <w:gridCol w:w="1690"/>
      </w:tblGrid>
      <w:tr w:rsidR="00C17E89" w:rsidRPr="00C17E89" w:rsidTr="00C17E89">
        <w:trPr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Ano calendário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2011</w:t>
            </w:r>
          </w:p>
        </w:tc>
      </w:tr>
      <w:tr w:rsidR="00C17E89" w:rsidRPr="00C17E89" w:rsidTr="00C17E89">
        <w:trPr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Produzidos de acordo com o PPB específico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17E89" w:rsidRPr="00C17E89" w:rsidRDefault="00C17E89" w:rsidP="00C17E89">
            <w:pPr>
              <w:spacing w:before="100" w:beforeAutospacing="1" w:after="100" w:afterAutospacing="1" w:line="240" w:lineRule="auto"/>
              <w:ind w:firstLin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17E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25%</w:t>
            </w:r>
          </w:p>
        </w:tc>
      </w:tr>
    </w:tbl>
    <w:p w:rsidR="00647901" w:rsidRPr="00647901" w:rsidRDefault="00647901" w:rsidP="00647901">
      <w:pPr>
        <w:spacing w:before="100" w:beforeAutospacing="1" w:after="100" w:afterAutospacing="1" w:line="240" w:lineRule="auto"/>
        <w:ind w:firstLine="900"/>
        <w:jc w:val="both"/>
        <w:rPr>
          <w:rFonts w:ascii="Verdana" w:eastAsia="Times New Roman" w:hAnsi="Verdana" w:cs="Times New Roman"/>
          <w:sz w:val="20"/>
          <w:szCs w:val="20"/>
          <w:lang w:eastAsia="pt-BR"/>
        </w:rPr>
      </w:pPr>
      <w:r w:rsidRPr="00647901">
        <w:rPr>
          <w:rFonts w:ascii="Verdana" w:eastAsia="Times New Roman" w:hAnsi="Verdana" w:cs="Times New Roman"/>
          <w:sz w:val="20"/>
          <w:szCs w:val="20"/>
          <w:lang w:eastAsia="pt-BR"/>
        </w:rPr>
        <w:t> </w:t>
      </w:r>
    </w:p>
    <w:p w:rsidR="006947AB" w:rsidRPr="00647901" w:rsidRDefault="00C17E89" w:rsidP="00647901"/>
    <w:sectPr w:rsidR="006947AB" w:rsidRPr="00647901" w:rsidSect="001F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926FA2"/>
    <w:rsid w:val="00123FE4"/>
    <w:rsid w:val="001F4F8C"/>
    <w:rsid w:val="00535E6B"/>
    <w:rsid w:val="00647901"/>
    <w:rsid w:val="00926FA2"/>
    <w:rsid w:val="00C17E89"/>
    <w:rsid w:val="00CE04FA"/>
    <w:rsid w:val="00D31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F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5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35E6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35E6B"/>
    <w:rPr>
      <w:color w:val="0000FF"/>
      <w:u w:val="single"/>
    </w:rPr>
  </w:style>
  <w:style w:type="paragraph" w:customStyle="1" w:styleId="texto1">
    <w:name w:val="texto1"/>
    <w:basedOn w:val="Normal"/>
    <w:rsid w:val="00535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0">
    <w:name w:val="texto10"/>
    <w:basedOn w:val="Normal"/>
    <w:rsid w:val="00535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pelle">
    <w:name w:val="spelle"/>
    <w:basedOn w:val="Fontepargpadro"/>
    <w:rsid w:val="00647901"/>
  </w:style>
  <w:style w:type="character" w:customStyle="1" w:styleId="grame">
    <w:name w:val="grame"/>
    <w:basedOn w:val="Fontepargpadro"/>
    <w:rsid w:val="00647901"/>
  </w:style>
  <w:style w:type="paragraph" w:customStyle="1" w:styleId="tpementa">
    <w:name w:val="tpementa"/>
    <w:basedOn w:val="Normal"/>
    <w:rsid w:val="00C1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1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17E8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pdata">
    <w:name w:val="tpdata"/>
    <w:basedOn w:val="Normal"/>
    <w:rsid w:val="00C1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1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17E8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C1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4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5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63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04-2006/2005/Decreto/D5602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lanalto.gov.br/ccivil_03/LEIS/2003/L10.83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LEIS/2002/L10637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lanalto.gov.br/ccivil_03/LEIS/LCP/Lcp123.ht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legislacao.planalto.gov.br/legisla/legislacao.nsf/Viw_Identificacao/DEC%207.243-2010?OpenDocument" TargetMode="External"/><Relationship Id="rId9" Type="http://schemas.openxmlformats.org/officeDocument/2006/relationships/hyperlink" Target="http://www.planalto.gov.br/ccivil_03/_Ato2004-2006/2005/Decreto/D5602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2116</Words>
  <Characters>11430</Characters>
  <Application>Microsoft Office Word</Application>
  <DocSecurity>0</DocSecurity>
  <Lines>95</Lines>
  <Paragraphs>27</Paragraphs>
  <ScaleCrop>false</ScaleCrop>
  <Company>UNIFACS</Company>
  <LinksUpToDate>false</LinksUpToDate>
  <CharactersWithSpaces>13519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2</cp:revision>
  <dcterms:created xsi:type="dcterms:W3CDTF">2010-08-31T17:26:00Z</dcterms:created>
  <dcterms:modified xsi:type="dcterms:W3CDTF">2010-08-31T17:26:00Z</dcterms:modified>
</cp:coreProperties>
</file>