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A0" w:rsidRPr="00C007A0" w:rsidRDefault="00C007A0" w:rsidP="00C00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Adoção por casais homossexuais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(nota sobre a recente decisão do STJ)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O movimento LGBT tem buscado, há alguns anos, introduzir ou reconhecer direitos específicos desse grupo, como o da união estável, a alteração de nome e sexo registral para travestis e transexuais, e, mais hodiernamente, a possibilidade de adoção por casais homoafetivos.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PNDH-3, instituído através do decreto nº 7.037/2009, ao traçar algumas diretrizes, frise-se, não vinculantes, fez constar, como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Ação Programática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“Promover ações voltadas à garantia do direito de adoção por casais homoafetivos”, recomendando “ao Poder Judiciário a realização de campanhas de sensibilização de juízes para evitar preconceitos em processos de adoção por casais homoafetivos”, e, ao Poder Legislativo, a “elaboração de projeto de lei que garanta o direito de adoção por casais homoafetivos”. No mesmo sentido era a meta 162 do segundo PNDH (decreto nº 4.229/2002).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Sob o ponto de vista da legislação ordinária, há que se considerar o art. 1.622 no CC/02 (“Ninguém pode ser adotado por duas pessoas, salvo se forem marido e mulher, ou se viverem em união estável”), revogado pela Lei nº 12.010/09. Essa norma promoveu a alteração do art. 42, §2º, do ECA, estabelecendo que “Para adoção conjunta, é indispensável que os adotantes sejam casados civilmente ou mantenham união estável, comprovada a estabilidade da família”.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Constitucionalmente, por sua vez, nos termos do art. 226, §3º, temos que, “Para efeito da proteção do Estado, é reconhecida a união estável entre o homem e a mulher como entidade familiar, devendo a lei facilitar sua conversão em casamento”, disposição ratificada pelo art. 1.723 do Código Civil (“É reconhecida como entidade familiar a união estável entre o homem e a mulher, configurada na convivência pública, contínua e duradoura e estabelecida com o objetivo de constituição de família”).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Assim, temos que considerar que a Constituição da República, quando trata da união estável, deixa clara a necessidade da diversidade de sexo entre os contraentes. Os princípios constitucionais alegados para o deferimento da união homossexual (entre outros, dignidade da pessoa humana e igualdade) não podem fazer eliminar os requisitos constitucionalmente declinados para um instituto. Se assim fosse, teríamos a ocorrência de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inconstitucionalidade originária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que é descabida dada a unidade da Constituição, conforme interpretação corrente da doutrina e do próprio STF.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lang w:eastAsia="pt-BR"/>
        </w:rPr>
        <w:t>O sistema constitucional brasileiro, ao consagrar a incondicional superioridade normativa da Constituição Federal, portanto, não adota a teoria alemã das normas constitucionais inconstitucionais (</w:t>
      </w:r>
      <w:r w:rsidRPr="00C007A0">
        <w:rPr>
          <w:rFonts w:ascii="Times New Roman" w:eastAsia="Times New Roman" w:hAnsi="Times New Roman" w:cs="Times New Roman"/>
          <w:i/>
          <w:iCs/>
          <w:lang w:eastAsia="pt-BR"/>
        </w:rPr>
        <w:t>verfassungswidrige Verfassungsnormem</w:t>
      </w:r>
      <w:r w:rsidRPr="00C007A0">
        <w:rPr>
          <w:rFonts w:ascii="Times New Roman" w:eastAsia="Times New Roman" w:hAnsi="Times New Roman" w:cs="Times New Roman"/>
          <w:lang w:eastAsia="pt-BR"/>
        </w:rPr>
        <w:t>), que possibilita a declaração de inconstitucionalidade de normas constitucionais positivadas por incompatíveis com os princípios constitucionais não escritos e os postulados da Justiça (</w:t>
      </w:r>
      <w:r w:rsidRPr="00C007A0">
        <w:rPr>
          <w:rFonts w:ascii="Times New Roman" w:eastAsia="Times New Roman" w:hAnsi="Times New Roman" w:cs="Times New Roman"/>
          <w:i/>
          <w:iCs/>
          <w:lang w:eastAsia="pt-BR"/>
        </w:rPr>
        <w:t>Grundentscheidungen</w:t>
      </w:r>
      <w:r w:rsidRPr="00C007A0">
        <w:rPr>
          <w:rFonts w:ascii="Times New Roman" w:eastAsia="Times New Roman" w:hAnsi="Times New Roman" w:cs="Times New Roman"/>
          <w:lang w:eastAsia="pt-BR"/>
        </w:rPr>
        <w:t xml:space="preserve">).” (MORAES, Alexandre de. </w:t>
      </w:r>
      <w:r w:rsidRPr="00C007A0">
        <w:rPr>
          <w:rFonts w:ascii="Times New Roman" w:eastAsia="Times New Roman" w:hAnsi="Times New Roman" w:cs="Times New Roman"/>
          <w:b/>
          <w:bCs/>
          <w:lang w:eastAsia="pt-BR"/>
        </w:rPr>
        <w:t>Direito Constitucional</w:t>
      </w:r>
      <w:r w:rsidRPr="00C007A0">
        <w:rPr>
          <w:rFonts w:ascii="Times New Roman" w:eastAsia="Times New Roman" w:hAnsi="Times New Roman" w:cs="Times New Roman"/>
          <w:lang w:eastAsia="pt-BR"/>
        </w:rPr>
        <w:t>. 23. ed. São Paulo: Atlas, 2008, p. 735)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Demais disso, além de afigurar-se naturalmente impossível que dada pessoa tenha dois pais ou duas mães, há estudos que não recomendam a adoção, nesses casos, por razões de ordem psicológica. Então, como o casal homossexual, pela legislação pátria, não pode se casar nem ter reconhecida união estável (impossibilidade jurídica, 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apesar de outra decisão do STJ, prolatada em agosto de 2008, em sentido contrário), incabível,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prima facie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adoção. </w:t>
      </w:r>
    </w:p>
    <w:p w:rsidR="00C007A0" w:rsidRPr="00C007A0" w:rsidRDefault="00C007A0" w:rsidP="00C007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Antonio Carlos da Rosa Silva Junior. Bacharel em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Direito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bacharelando em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Ciências Humanas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especialista em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Ciências Penais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em </w:t>
      </w:r>
      <w:r w:rsidRPr="00C007A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Direito e Relações Familiares</w:t>
      </w: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C007A0" w:rsidRPr="00C007A0" w:rsidRDefault="00C007A0" w:rsidP="00C0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7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947AB" w:rsidRDefault="00C007A0"/>
    <w:sectPr w:rsidR="006947AB" w:rsidSect="00366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07A0"/>
    <w:rsid w:val="00123FE4"/>
    <w:rsid w:val="003663E8"/>
    <w:rsid w:val="00C007A0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3083</Characters>
  <Application>Microsoft Office Word</Application>
  <DocSecurity>0</DocSecurity>
  <Lines>25</Lines>
  <Paragraphs>7</Paragraphs>
  <ScaleCrop>false</ScaleCrop>
  <Company>UNIFACS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dcterms:created xsi:type="dcterms:W3CDTF">2010-05-31T14:17:00Z</dcterms:created>
  <dcterms:modified xsi:type="dcterms:W3CDTF">2010-05-31T14:17:00Z</dcterms:modified>
</cp:coreProperties>
</file>